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A28C7" w14:textId="77777777" w:rsidR="001C2B5E" w:rsidRDefault="001C2B5E" w:rsidP="001F57A6">
      <w:pPr>
        <w:pStyle w:val="NormalWeb"/>
        <w:jc w:val="center"/>
        <w:rPr>
          <w:rFonts w:ascii="Calibri" w:hAnsi="Calibri" w:cs="Calibri"/>
          <w:b/>
          <w:color w:val="006699"/>
          <w:lang w:val="en-GB"/>
        </w:rPr>
      </w:pPr>
      <w:bookmarkStart w:id="0" w:name="_Hlk130308250"/>
    </w:p>
    <w:p w14:paraId="128AF03A" w14:textId="77777777" w:rsidR="001C2B5E" w:rsidRDefault="001C2B5E" w:rsidP="001F57A6">
      <w:pPr>
        <w:pStyle w:val="NormalWeb"/>
        <w:jc w:val="center"/>
        <w:rPr>
          <w:rFonts w:ascii="Calibri" w:hAnsi="Calibri" w:cs="Calibri"/>
          <w:b/>
          <w:color w:val="006699"/>
          <w:lang w:val="en-GB"/>
        </w:rPr>
      </w:pPr>
    </w:p>
    <w:p w14:paraId="4FF47CD1" w14:textId="77777777" w:rsidR="001C2B5E" w:rsidRDefault="001C2B5E" w:rsidP="001F57A6">
      <w:pPr>
        <w:pStyle w:val="NormalWeb"/>
        <w:jc w:val="center"/>
        <w:rPr>
          <w:rFonts w:ascii="Calibri" w:hAnsi="Calibri" w:cs="Calibri"/>
          <w:b/>
          <w:color w:val="006699"/>
          <w:lang w:val="en-GB"/>
        </w:rPr>
      </w:pPr>
    </w:p>
    <w:p w14:paraId="54389EF1" w14:textId="77777777" w:rsidR="001C2B5E" w:rsidRDefault="001C2B5E" w:rsidP="001F57A6">
      <w:pPr>
        <w:pStyle w:val="NormalWeb"/>
        <w:jc w:val="center"/>
        <w:rPr>
          <w:rFonts w:ascii="Calibri" w:hAnsi="Calibri" w:cs="Calibri"/>
          <w:b/>
          <w:color w:val="006699"/>
          <w:lang w:val="en-GB"/>
        </w:rPr>
      </w:pPr>
    </w:p>
    <w:p w14:paraId="11198673" w14:textId="77777777" w:rsidR="001C2B5E" w:rsidRDefault="001C2B5E" w:rsidP="001F57A6">
      <w:pPr>
        <w:pStyle w:val="NormalWeb"/>
        <w:jc w:val="center"/>
        <w:rPr>
          <w:rFonts w:ascii="Calibri" w:hAnsi="Calibri" w:cs="Calibri"/>
          <w:b/>
          <w:color w:val="006699"/>
          <w:lang w:val="en-GB"/>
        </w:rPr>
      </w:pPr>
    </w:p>
    <w:p w14:paraId="25CB6A9F" w14:textId="1B3666FC" w:rsidR="001F57A6" w:rsidRPr="001C2B5E" w:rsidRDefault="001C2B5E" w:rsidP="001F57A6">
      <w:pPr>
        <w:pStyle w:val="NormalWeb"/>
        <w:jc w:val="center"/>
        <w:rPr>
          <w:rFonts w:ascii="Calibri" w:hAnsi="Calibri" w:cs="Calibri"/>
          <w:b/>
          <w:color w:val="006699"/>
          <w:sz w:val="40"/>
          <w:highlight w:val="yellow"/>
          <w:lang w:val="en-GB"/>
        </w:rPr>
      </w:pPr>
      <w:r w:rsidRPr="001C2B5E">
        <w:rPr>
          <w:rFonts w:ascii="Calibri" w:hAnsi="Calibri" w:cs="Calibri"/>
          <w:b/>
          <w:color w:val="006699"/>
          <w:sz w:val="40"/>
          <w:lang w:val="en-GB"/>
        </w:rPr>
        <w:t>BOOK OF ABSTRACTS</w:t>
      </w:r>
    </w:p>
    <w:p w14:paraId="3BF2B76F" w14:textId="77777777" w:rsidR="001C2B5E" w:rsidRDefault="001C2B5E" w:rsidP="001F57A6">
      <w:pPr>
        <w:pStyle w:val="NormalWeb"/>
        <w:jc w:val="center"/>
        <w:rPr>
          <w:rFonts w:ascii="Calibri" w:hAnsi="Calibri" w:cs="Calibri"/>
          <w:b/>
          <w:color w:val="006699"/>
          <w:highlight w:val="yellow"/>
          <w:lang w:val="en-GB"/>
        </w:rPr>
      </w:pPr>
    </w:p>
    <w:p w14:paraId="0E7EFAD7" w14:textId="77777777" w:rsidR="001C2B5E" w:rsidRDefault="001C2B5E" w:rsidP="001C2B5E">
      <w:pPr>
        <w:spacing w:before="120" w:after="200"/>
        <w:jc w:val="center"/>
        <w:rPr>
          <w:rFonts w:asciiTheme="minorHAnsi" w:hAnsiTheme="minorHAnsi" w:cstheme="minorHAnsi"/>
          <w:b/>
          <w:bCs/>
          <w:color w:val="006699"/>
          <w:lang w:val="en" w:eastAsia="lt-LT"/>
        </w:rPr>
      </w:pPr>
    </w:p>
    <w:p w14:paraId="4D4FBB25" w14:textId="77777777" w:rsidR="001C2B5E" w:rsidRDefault="001C2B5E" w:rsidP="001C2B5E">
      <w:pPr>
        <w:spacing w:before="120" w:after="200"/>
        <w:jc w:val="center"/>
        <w:rPr>
          <w:rFonts w:asciiTheme="minorHAnsi" w:hAnsiTheme="minorHAnsi" w:cstheme="minorHAnsi"/>
          <w:b/>
          <w:bCs/>
          <w:color w:val="006699"/>
          <w:lang w:val="en" w:eastAsia="lt-LT"/>
        </w:rPr>
      </w:pPr>
    </w:p>
    <w:p w14:paraId="3F78F655" w14:textId="77777777" w:rsidR="001C2B5E" w:rsidRDefault="001C2B5E" w:rsidP="001C2B5E">
      <w:pPr>
        <w:spacing w:before="120" w:after="200"/>
        <w:jc w:val="center"/>
        <w:rPr>
          <w:rFonts w:asciiTheme="minorHAnsi" w:hAnsiTheme="minorHAnsi" w:cstheme="minorHAnsi"/>
          <w:b/>
          <w:bCs/>
          <w:color w:val="006699"/>
          <w:lang w:val="en" w:eastAsia="lt-LT"/>
        </w:rPr>
      </w:pPr>
    </w:p>
    <w:p w14:paraId="6B779DB9" w14:textId="1B47A666" w:rsidR="001C2B5E" w:rsidRDefault="001C2B5E" w:rsidP="001C2B5E">
      <w:pPr>
        <w:spacing w:before="120" w:after="200"/>
        <w:jc w:val="center"/>
        <w:rPr>
          <w:rFonts w:asciiTheme="minorHAnsi" w:hAnsiTheme="minorHAnsi" w:cstheme="minorHAnsi"/>
          <w:b/>
          <w:bCs/>
          <w:color w:val="006699"/>
          <w:lang w:val="en" w:eastAsia="lt-LT"/>
        </w:rPr>
      </w:pPr>
    </w:p>
    <w:p w14:paraId="26C74882" w14:textId="46357892" w:rsidR="001C2B5E" w:rsidRDefault="001C2B5E">
      <w:pPr>
        <w:rPr>
          <w:rFonts w:asciiTheme="minorHAnsi" w:hAnsiTheme="minorHAnsi" w:cstheme="minorHAnsi"/>
          <w:b/>
          <w:bCs/>
          <w:color w:val="006699"/>
          <w:lang w:val="en" w:eastAsia="lt-LT"/>
        </w:rPr>
      </w:pPr>
      <w:r>
        <w:rPr>
          <w:rFonts w:asciiTheme="minorHAnsi" w:hAnsiTheme="minorHAnsi" w:cstheme="minorHAnsi"/>
          <w:b/>
          <w:bCs/>
          <w:color w:val="006699"/>
          <w:lang w:val="en" w:eastAsia="lt-LT"/>
        </w:rPr>
        <w:br w:type="page"/>
      </w:r>
    </w:p>
    <w:p w14:paraId="0C5F4E9C" w14:textId="77777777" w:rsidR="001C2B5E" w:rsidRDefault="001C2B5E" w:rsidP="001C2B5E">
      <w:pPr>
        <w:spacing w:before="120" w:after="200"/>
        <w:jc w:val="center"/>
        <w:rPr>
          <w:rFonts w:asciiTheme="minorHAnsi" w:hAnsiTheme="minorHAnsi" w:cstheme="minorHAnsi"/>
          <w:b/>
          <w:bCs/>
          <w:color w:val="006699"/>
          <w:lang w:val="en" w:eastAsia="lt-LT"/>
        </w:rPr>
      </w:pPr>
    </w:p>
    <w:p w14:paraId="1A0E28C5" w14:textId="77777777" w:rsidR="001C2B5E" w:rsidRDefault="001C2B5E" w:rsidP="001C2B5E">
      <w:pPr>
        <w:spacing w:before="120" w:after="200"/>
        <w:jc w:val="center"/>
        <w:rPr>
          <w:rFonts w:asciiTheme="minorHAnsi" w:hAnsiTheme="minorHAnsi" w:cstheme="minorHAnsi"/>
          <w:b/>
          <w:bCs/>
          <w:color w:val="006699"/>
          <w:lang w:val="en" w:eastAsia="lt-LT"/>
        </w:rPr>
      </w:pPr>
    </w:p>
    <w:p w14:paraId="6A326194" w14:textId="60893144" w:rsidR="001C2B5E" w:rsidRPr="003905C2" w:rsidRDefault="001C2B5E" w:rsidP="001C2B5E">
      <w:pPr>
        <w:spacing w:before="120" w:after="200"/>
        <w:jc w:val="center"/>
        <w:rPr>
          <w:rFonts w:cstheme="minorHAnsi"/>
          <w:b/>
          <w:bCs/>
          <w:sz w:val="36"/>
          <w:lang w:val="lt-LT" w:eastAsia="lt-LT"/>
        </w:rPr>
      </w:pPr>
      <w:r w:rsidRPr="003905C2">
        <w:rPr>
          <w:rFonts w:asciiTheme="minorHAnsi" w:hAnsiTheme="minorHAnsi" w:cstheme="minorHAnsi"/>
          <w:b/>
          <w:bCs/>
          <w:color w:val="006699"/>
          <w:sz w:val="36"/>
          <w:lang w:val="en" w:eastAsia="lt-LT"/>
        </w:rPr>
        <w:t xml:space="preserve">Medicinal </w:t>
      </w:r>
      <w:r w:rsidR="003905C2">
        <w:rPr>
          <w:rFonts w:asciiTheme="minorHAnsi" w:hAnsiTheme="minorHAnsi" w:cstheme="minorHAnsi"/>
          <w:b/>
          <w:bCs/>
          <w:color w:val="006699"/>
          <w:sz w:val="36"/>
          <w:lang w:val="en" w:eastAsia="lt-LT"/>
        </w:rPr>
        <w:t>C</w:t>
      </w:r>
      <w:r w:rsidRPr="003905C2">
        <w:rPr>
          <w:rFonts w:asciiTheme="minorHAnsi" w:hAnsiTheme="minorHAnsi" w:cstheme="minorHAnsi"/>
          <w:b/>
          <w:bCs/>
          <w:color w:val="006699"/>
          <w:sz w:val="36"/>
          <w:lang w:val="en" w:eastAsia="lt-LT"/>
        </w:rPr>
        <w:t xml:space="preserve">hemistry and </w:t>
      </w:r>
      <w:r w:rsidR="003905C2">
        <w:rPr>
          <w:rFonts w:asciiTheme="minorHAnsi" w:hAnsiTheme="minorHAnsi" w:cstheme="minorHAnsi"/>
          <w:b/>
          <w:bCs/>
          <w:color w:val="006699"/>
          <w:sz w:val="36"/>
          <w:lang w:val="en" w:eastAsia="lt-LT"/>
        </w:rPr>
        <w:t>S</w:t>
      </w:r>
      <w:r w:rsidRPr="003905C2">
        <w:rPr>
          <w:rFonts w:asciiTheme="minorHAnsi" w:hAnsiTheme="minorHAnsi" w:cstheme="minorHAnsi"/>
          <w:b/>
          <w:bCs/>
          <w:color w:val="006699"/>
          <w:sz w:val="36"/>
          <w:lang w:val="en" w:eastAsia="lt-LT"/>
        </w:rPr>
        <w:t xml:space="preserve">tructural </w:t>
      </w:r>
      <w:r w:rsidR="003905C2">
        <w:rPr>
          <w:rFonts w:asciiTheme="minorHAnsi" w:hAnsiTheme="minorHAnsi" w:cstheme="minorHAnsi"/>
          <w:b/>
          <w:bCs/>
          <w:color w:val="006699"/>
          <w:sz w:val="36"/>
          <w:lang w:val="en" w:eastAsia="lt-LT"/>
        </w:rPr>
        <w:t>B</w:t>
      </w:r>
      <w:r w:rsidRPr="003905C2">
        <w:rPr>
          <w:rFonts w:asciiTheme="minorHAnsi" w:hAnsiTheme="minorHAnsi" w:cstheme="minorHAnsi"/>
          <w:b/>
          <w:bCs/>
          <w:color w:val="006699"/>
          <w:sz w:val="36"/>
          <w:lang w:val="en" w:eastAsia="lt-LT"/>
        </w:rPr>
        <w:t>iology</w:t>
      </w:r>
    </w:p>
    <w:p w14:paraId="156A49AD" w14:textId="0A4B6611" w:rsidR="001C2B5E" w:rsidRDefault="001C2B5E" w:rsidP="001C2B5E">
      <w:pPr>
        <w:spacing w:before="120" w:after="200"/>
        <w:jc w:val="center"/>
        <w:rPr>
          <w:rFonts w:ascii="Calibri" w:hAnsi="Calibri" w:cs="Calibri"/>
          <w:b/>
          <w:color w:val="006699"/>
          <w:sz w:val="36"/>
          <w:lang w:val="en-GB"/>
        </w:rPr>
      </w:pPr>
      <w:r w:rsidRPr="003905C2">
        <w:rPr>
          <w:rFonts w:ascii="Calibri" w:hAnsi="Calibri" w:cs="Calibri"/>
          <w:b/>
          <w:color w:val="006699"/>
          <w:sz w:val="36"/>
          <w:lang w:val="en-GB"/>
        </w:rPr>
        <w:t>2024-11-25</w:t>
      </w:r>
    </w:p>
    <w:p w14:paraId="25BE37A1" w14:textId="61322265" w:rsidR="001B038A" w:rsidRDefault="001B038A" w:rsidP="001B038A">
      <w:pPr>
        <w:spacing w:before="120" w:after="200"/>
        <w:rPr>
          <w:rFonts w:ascii="Calibri" w:hAnsi="Calibri" w:cs="Calibri"/>
          <w:bCs/>
          <w:color w:val="006699"/>
          <w:sz w:val="22"/>
          <w:szCs w:val="22"/>
          <w:lang w:val="en-GB"/>
        </w:rPr>
      </w:pPr>
      <w:r w:rsidRPr="001B038A">
        <w:rPr>
          <w:rFonts w:ascii="Calibri" w:hAnsi="Calibri" w:cs="Calibri"/>
          <w:bCs/>
          <w:color w:val="006699"/>
          <w:sz w:val="22"/>
          <w:szCs w:val="22"/>
          <w:lang w:val="en-GB"/>
        </w:rPr>
        <w:t xml:space="preserve">DAY 1 (25/11): </w:t>
      </w:r>
      <w:hyperlink r:id="rId8" w:history="1">
        <w:r w:rsidRPr="00077360">
          <w:rPr>
            <w:rStyle w:val="Hyperlink"/>
            <w:rFonts w:ascii="Calibri" w:hAnsi="Calibri" w:cs="Calibri"/>
            <w:bCs/>
            <w:sz w:val="22"/>
            <w:szCs w:val="22"/>
            <w:lang w:val="en-GB"/>
          </w:rPr>
          <w:t>https://teams.microsoft.com/l/meetup-join/19%3aJdu4-YOGoTWvm2EtTXTcbi08m9LpmYFMY_vTAu_mQGU1%40thread.tacv2/1729135211346?context=%7b%22Tid%22%3a%22e787b025-3fc6-4802-874a-9c988768f892%22%2c%22Oid%22%3a%22ac391189-1971-4664-9abf-5dbf09f2a671%22%7d</w:t>
        </w:r>
      </w:hyperlink>
    </w:p>
    <w:p w14:paraId="6CFAE198" w14:textId="7FEC4273" w:rsidR="001B038A" w:rsidRPr="001B038A" w:rsidRDefault="001B038A" w:rsidP="001B038A">
      <w:pPr>
        <w:spacing w:before="120" w:after="200"/>
        <w:rPr>
          <w:rFonts w:ascii="Calibri" w:hAnsi="Calibri" w:cs="Calibri"/>
          <w:bCs/>
          <w:color w:val="006699"/>
          <w:sz w:val="22"/>
          <w:szCs w:val="22"/>
          <w:lang w:val="en-GB"/>
        </w:rPr>
      </w:pPr>
      <w:r w:rsidRPr="001B038A">
        <w:rPr>
          <w:rFonts w:ascii="Calibri" w:hAnsi="Calibri" w:cs="Calibri"/>
          <w:bCs/>
          <w:color w:val="006699"/>
          <w:sz w:val="22"/>
          <w:szCs w:val="22"/>
          <w:lang w:val="en-GB"/>
        </w:rPr>
        <w:t>Meeting ID: 315 238 710 568 Passcode: V5uNn8</w:t>
      </w:r>
    </w:p>
    <w:p w14:paraId="2F66D75E" w14:textId="35728202" w:rsidR="001C2B5E" w:rsidRDefault="001C2B5E">
      <w:pPr>
        <w:rPr>
          <w:rFonts w:ascii="Calibri" w:hAnsi="Calibri" w:cs="Calibri"/>
          <w:b/>
          <w:color w:val="006699"/>
          <w:highlight w:val="yellow"/>
          <w:lang w:val="en-GB"/>
        </w:rPr>
      </w:pPr>
      <w:r>
        <w:rPr>
          <w:rFonts w:ascii="Calibri" w:hAnsi="Calibri" w:cs="Calibri"/>
          <w:b/>
          <w:color w:val="006699"/>
          <w:highlight w:val="yellow"/>
          <w:lang w:val="en-GB"/>
        </w:rPr>
        <w:br w:type="page"/>
      </w:r>
    </w:p>
    <w:p w14:paraId="72EB480A" w14:textId="77777777" w:rsidR="00F40165" w:rsidRDefault="00F40165" w:rsidP="00F40165">
      <w:pPr>
        <w:jc w:val="center"/>
        <w:rPr>
          <w:rFonts w:ascii="Calibri" w:hAnsi="Calibri" w:cs="Calibri"/>
          <w:b/>
          <w:color w:val="006699"/>
          <w:lang w:val="en-GB"/>
        </w:rPr>
      </w:pPr>
    </w:p>
    <w:p w14:paraId="47379720" w14:textId="77777777" w:rsidR="00F40165" w:rsidRDefault="00F40165" w:rsidP="00F40165">
      <w:pPr>
        <w:jc w:val="center"/>
        <w:rPr>
          <w:rFonts w:ascii="Calibri" w:hAnsi="Calibri" w:cs="Calibri"/>
          <w:b/>
          <w:color w:val="006699"/>
          <w:lang w:val="en-GB"/>
        </w:rPr>
      </w:pPr>
      <w:r w:rsidRPr="00A233F5">
        <w:rPr>
          <w:rFonts w:ascii="Calibri" w:hAnsi="Calibri" w:cs="Calibri"/>
          <w:b/>
          <w:color w:val="006699"/>
          <w:lang w:val="en-GB"/>
        </w:rPr>
        <w:t>Exploring the Ubiquitin-Proteasome System for Structure-Based Design of Effective PROTACs targeting Trypanothione Reductase</w:t>
      </w:r>
    </w:p>
    <w:p w14:paraId="3AAD8B41" w14:textId="77777777" w:rsidR="00F40165" w:rsidRPr="00A233F5" w:rsidRDefault="00F40165" w:rsidP="00F40165">
      <w:pPr>
        <w:jc w:val="center"/>
        <w:rPr>
          <w:rFonts w:ascii="Calibri" w:hAnsi="Calibri" w:cs="Calibri"/>
          <w:b/>
          <w:color w:val="006699"/>
          <w:lang w:val="en-GB"/>
        </w:rPr>
      </w:pPr>
    </w:p>
    <w:p w14:paraId="2EC41448" w14:textId="77777777" w:rsidR="00F40165" w:rsidRDefault="00F40165" w:rsidP="00F40165">
      <w:pPr>
        <w:jc w:val="center"/>
        <w:rPr>
          <w:rFonts w:ascii="Calibri" w:hAnsi="Calibri" w:cs="Calibri"/>
          <w:color w:val="000000"/>
          <w:sz w:val="22"/>
          <w:szCs w:val="22"/>
          <w:u w:val="single"/>
          <w:lang w:val="pt-PT"/>
        </w:rPr>
      </w:pPr>
      <w:r w:rsidRPr="00AF1169">
        <w:rPr>
          <w:rFonts w:ascii="Calibri" w:hAnsi="Calibri" w:cs="Calibri"/>
          <w:color w:val="000000"/>
          <w:sz w:val="22"/>
          <w:szCs w:val="22"/>
          <w:lang w:val="pt-PT"/>
        </w:rPr>
        <w:t>C</w:t>
      </w:r>
      <w:r>
        <w:rPr>
          <w:rFonts w:ascii="Calibri" w:hAnsi="Calibri" w:cs="Calibri"/>
          <w:color w:val="000000"/>
          <w:sz w:val="22"/>
          <w:szCs w:val="22"/>
          <w:lang w:val="pt-PT"/>
        </w:rPr>
        <w:t>.</w:t>
      </w:r>
      <w:r w:rsidRPr="00AF1169">
        <w:rPr>
          <w:rFonts w:ascii="Calibri" w:hAnsi="Calibri" w:cs="Calibri"/>
          <w:color w:val="000000"/>
          <w:sz w:val="22"/>
          <w:szCs w:val="22"/>
          <w:lang w:val="pt-PT"/>
        </w:rPr>
        <w:t xml:space="preserve"> Exertier</w:t>
      </w:r>
      <w:r w:rsidRPr="00AF1169">
        <w:rPr>
          <w:rFonts w:ascii="Calibri" w:hAnsi="Calibri" w:cs="Calibri"/>
          <w:color w:val="000000"/>
          <w:sz w:val="22"/>
          <w:szCs w:val="22"/>
          <w:vertAlign w:val="superscript"/>
          <w:lang w:val="pt-PT"/>
        </w:rPr>
        <w:t>1</w:t>
      </w:r>
      <w:r>
        <w:rPr>
          <w:rFonts w:ascii="Calibri" w:hAnsi="Calibri" w:cs="Calibri"/>
          <w:color w:val="000000"/>
          <w:sz w:val="22"/>
          <w:szCs w:val="22"/>
          <w:lang w:val="pt-PT"/>
        </w:rPr>
        <w:t xml:space="preserve">, </w:t>
      </w:r>
      <w:r w:rsidRPr="00AF1169">
        <w:rPr>
          <w:rFonts w:ascii="Calibri" w:hAnsi="Calibri" w:cs="Calibri"/>
          <w:color w:val="000000"/>
          <w:sz w:val="22"/>
          <w:szCs w:val="22"/>
          <w:lang w:val="pt-PT"/>
        </w:rPr>
        <w:t>A</w:t>
      </w:r>
      <w:r>
        <w:rPr>
          <w:rFonts w:ascii="Calibri" w:hAnsi="Calibri" w:cs="Calibri"/>
          <w:color w:val="000000"/>
          <w:sz w:val="22"/>
          <w:szCs w:val="22"/>
          <w:lang w:val="pt-PT"/>
        </w:rPr>
        <w:t>.</w:t>
      </w:r>
      <w:r w:rsidRPr="00AF1169">
        <w:rPr>
          <w:rFonts w:ascii="Calibri" w:hAnsi="Calibri" w:cs="Calibri"/>
          <w:color w:val="000000"/>
          <w:sz w:val="22"/>
          <w:szCs w:val="22"/>
          <w:lang w:val="pt-PT"/>
        </w:rPr>
        <w:t xml:space="preserve"> Fiorillo</w:t>
      </w:r>
      <w:r w:rsidRPr="00AF1169">
        <w:rPr>
          <w:rFonts w:ascii="Calibri" w:hAnsi="Calibri" w:cs="Calibri"/>
          <w:color w:val="000000"/>
          <w:sz w:val="22"/>
          <w:szCs w:val="22"/>
          <w:vertAlign w:val="superscript"/>
          <w:lang w:val="pt-PT"/>
        </w:rPr>
        <w:t>1,2</w:t>
      </w:r>
      <w:r w:rsidRPr="00AF1169">
        <w:rPr>
          <w:rFonts w:ascii="Calibri" w:hAnsi="Calibri" w:cs="Calibri"/>
          <w:color w:val="000000"/>
          <w:sz w:val="22"/>
          <w:szCs w:val="22"/>
          <w:lang w:val="pt-PT"/>
        </w:rPr>
        <w:t>, A</w:t>
      </w:r>
      <w:r>
        <w:rPr>
          <w:rFonts w:ascii="Calibri" w:hAnsi="Calibri" w:cs="Calibri"/>
          <w:color w:val="000000"/>
          <w:sz w:val="22"/>
          <w:szCs w:val="22"/>
          <w:lang w:val="pt-PT"/>
        </w:rPr>
        <w:t>.</w:t>
      </w:r>
      <w:r w:rsidRPr="00AF1169">
        <w:rPr>
          <w:rFonts w:ascii="Calibri" w:hAnsi="Calibri" w:cs="Calibri"/>
          <w:color w:val="000000"/>
          <w:sz w:val="22"/>
          <w:szCs w:val="22"/>
          <w:lang w:val="pt-PT"/>
        </w:rPr>
        <w:t xml:space="preserve"> Salerno</w:t>
      </w:r>
      <w:bookmarkStart w:id="1" w:name="_Hlk183005551"/>
      <w:r w:rsidRPr="00AF1169">
        <w:rPr>
          <w:rFonts w:ascii="Calibri" w:hAnsi="Calibri" w:cs="Calibri"/>
          <w:color w:val="000000"/>
          <w:sz w:val="22"/>
          <w:szCs w:val="22"/>
          <w:vertAlign w:val="superscript"/>
          <w:lang w:val="pt-PT"/>
        </w:rPr>
        <w:t>3</w:t>
      </w:r>
      <w:bookmarkEnd w:id="1"/>
      <w:r w:rsidRPr="00AF1169">
        <w:rPr>
          <w:rFonts w:ascii="Calibri" w:hAnsi="Calibri" w:cs="Calibri"/>
          <w:color w:val="000000"/>
          <w:sz w:val="22"/>
          <w:szCs w:val="22"/>
          <w:lang w:val="pt-PT"/>
        </w:rPr>
        <w:t>, R</w:t>
      </w:r>
      <w:r>
        <w:rPr>
          <w:rFonts w:ascii="Calibri" w:hAnsi="Calibri" w:cs="Calibri"/>
          <w:color w:val="000000"/>
          <w:sz w:val="22"/>
          <w:szCs w:val="22"/>
          <w:lang w:val="pt-PT"/>
        </w:rPr>
        <w:t xml:space="preserve">. </w:t>
      </w:r>
      <w:r w:rsidRPr="00AF1169">
        <w:rPr>
          <w:rFonts w:ascii="Calibri" w:hAnsi="Calibri" w:cs="Calibri"/>
          <w:color w:val="000000"/>
          <w:sz w:val="22"/>
          <w:szCs w:val="22"/>
          <w:lang w:val="pt-PT"/>
        </w:rPr>
        <w:t>Ocello</w:t>
      </w:r>
      <w:r w:rsidRPr="00AF1169">
        <w:rPr>
          <w:rFonts w:ascii="Calibri" w:hAnsi="Calibri" w:cs="Calibri"/>
          <w:color w:val="000000"/>
          <w:sz w:val="22"/>
          <w:szCs w:val="22"/>
          <w:vertAlign w:val="superscript"/>
          <w:lang w:val="pt-PT"/>
        </w:rPr>
        <w:t>3</w:t>
      </w:r>
      <w:r w:rsidRPr="00AF1169">
        <w:rPr>
          <w:rFonts w:ascii="Calibri" w:hAnsi="Calibri" w:cs="Calibri"/>
          <w:color w:val="000000"/>
          <w:sz w:val="22"/>
          <w:szCs w:val="22"/>
          <w:lang w:val="pt-PT"/>
        </w:rPr>
        <w:t>, Eleonora Testi</w:t>
      </w:r>
      <w:r w:rsidRPr="00AF1169">
        <w:rPr>
          <w:rFonts w:ascii="Calibri" w:hAnsi="Calibri" w:cs="Calibri"/>
          <w:color w:val="000000"/>
          <w:sz w:val="22"/>
          <w:szCs w:val="22"/>
          <w:vertAlign w:val="superscript"/>
          <w:lang w:val="pt-PT"/>
        </w:rPr>
        <w:t>3</w:t>
      </w:r>
      <w:r w:rsidRPr="00AF1169">
        <w:rPr>
          <w:rFonts w:ascii="Calibri" w:hAnsi="Calibri" w:cs="Calibri"/>
          <w:color w:val="000000"/>
          <w:sz w:val="22"/>
          <w:szCs w:val="22"/>
          <w:lang w:val="pt-PT"/>
        </w:rPr>
        <w:t>, E</w:t>
      </w:r>
      <w:r>
        <w:rPr>
          <w:rFonts w:ascii="Calibri" w:hAnsi="Calibri" w:cs="Calibri"/>
          <w:color w:val="000000"/>
          <w:sz w:val="22"/>
          <w:szCs w:val="22"/>
          <w:lang w:val="pt-PT"/>
        </w:rPr>
        <w:t>.</w:t>
      </w:r>
      <w:r w:rsidRPr="00AF1169">
        <w:rPr>
          <w:rFonts w:ascii="Calibri" w:hAnsi="Calibri" w:cs="Calibri"/>
          <w:color w:val="000000"/>
          <w:sz w:val="22"/>
          <w:szCs w:val="22"/>
          <w:lang w:val="pt-PT"/>
        </w:rPr>
        <w:t xml:space="preserve"> Fiorentino</w:t>
      </w:r>
      <w:r w:rsidRPr="00AF1169">
        <w:rPr>
          <w:rFonts w:ascii="Calibri" w:hAnsi="Calibri" w:cs="Calibri"/>
          <w:color w:val="000000"/>
          <w:sz w:val="22"/>
          <w:szCs w:val="22"/>
          <w:vertAlign w:val="superscript"/>
          <w:lang w:val="pt-PT"/>
        </w:rPr>
        <w:t>3</w:t>
      </w:r>
      <w:r w:rsidRPr="00AF1169">
        <w:rPr>
          <w:rFonts w:ascii="Calibri" w:hAnsi="Calibri" w:cs="Calibri"/>
          <w:color w:val="000000"/>
          <w:sz w:val="22"/>
          <w:szCs w:val="22"/>
          <w:lang w:val="pt-PT"/>
        </w:rPr>
        <w:t xml:space="preserve"> , M</w:t>
      </w:r>
      <w:r>
        <w:rPr>
          <w:rFonts w:ascii="Calibri" w:hAnsi="Calibri" w:cs="Calibri"/>
          <w:color w:val="000000"/>
          <w:sz w:val="22"/>
          <w:szCs w:val="22"/>
          <w:lang w:val="pt-PT"/>
        </w:rPr>
        <w:t>.</w:t>
      </w:r>
      <w:r w:rsidRPr="00AF1169">
        <w:rPr>
          <w:rFonts w:ascii="Calibri" w:hAnsi="Calibri" w:cs="Calibri"/>
          <w:color w:val="000000"/>
          <w:sz w:val="22"/>
          <w:szCs w:val="22"/>
          <w:lang w:val="pt-PT"/>
        </w:rPr>
        <w:t xml:space="preserve"> Roberti</w:t>
      </w:r>
      <w:r w:rsidRPr="00AF1169">
        <w:rPr>
          <w:rFonts w:ascii="Calibri" w:hAnsi="Calibri" w:cs="Calibri"/>
          <w:color w:val="000000"/>
          <w:sz w:val="22"/>
          <w:szCs w:val="22"/>
          <w:vertAlign w:val="superscript"/>
          <w:lang w:val="pt-PT"/>
        </w:rPr>
        <w:t>3</w:t>
      </w:r>
      <w:r w:rsidRPr="00AF1169">
        <w:rPr>
          <w:rFonts w:ascii="Calibri" w:hAnsi="Calibri" w:cs="Calibri"/>
          <w:color w:val="000000"/>
          <w:sz w:val="22"/>
          <w:szCs w:val="22"/>
          <w:lang w:val="pt-PT"/>
        </w:rPr>
        <w:t>, M</w:t>
      </w:r>
      <w:r>
        <w:rPr>
          <w:rFonts w:ascii="Calibri" w:hAnsi="Calibri" w:cs="Calibri"/>
          <w:color w:val="000000"/>
          <w:sz w:val="22"/>
          <w:szCs w:val="22"/>
          <w:lang w:val="pt-PT"/>
        </w:rPr>
        <w:t>.</w:t>
      </w:r>
      <w:r w:rsidRPr="00AF1169">
        <w:rPr>
          <w:rFonts w:ascii="Calibri" w:hAnsi="Calibri" w:cs="Calibri"/>
          <w:color w:val="000000"/>
          <w:sz w:val="22"/>
          <w:szCs w:val="22"/>
          <w:lang w:val="pt-PT"/>
        </w:rPr>
        <w:t xml:space="preserve"> Masetti</w:t>
      </w:r>
      <w:r w:rsidRPr="00AF1169">
        <w:rPr>
          <w:rFonts w:ascii="Calibri" w:hAnsi="Calibri" w:cs="Calibri"/>
          <w:color w:val="000000"/>
          <w:sz w:val="22"/>
          <w:szCs w:val="22"/>
          <w:vertAlign w:val="superscript"/>
          <w:lang w:val="pt-PT"/>
        </w:rPr>
        <w:t>3</w:t>
      </w:r>
      <w:r w:rsidRPr="00AF1169">
        <w:rPr>
          <w:rFonts w:ascii="Calibri" w:hAnsi="Calibri" w:cs="Calibri"/>
          <w:color w:val="000000"/>
          <w:sz w:val="22"/>
          <w:szCs w:val="22"/>
          <w:lang w:val="pt-PT"/>
        </w:rPr>
        <w:t>, V</w:t>
      </w:r>
      <w:r>
        <w:rPr>
          <w:rFonts w:ascii="Calibri" w:hAnsi="Calibri" w:cs="Calibri"/>
          <w:color w:val="000000"/>
          <w:sz w:val="22"/>
          <w:szCs w:val="22"/>
          <w:lang w:val="pt-PT"/>
        </w:rPr>
        <w:t>.</w:t>
      </w:r>
      <w:r w:rsidRPr="00AF1169">
        <w:rPr>
          <w:rFonts w:ascii="Calibri" w:hAnsi="Calibri" w:cs="Calibri"/>
          <w:color w:val="000000"/>
          <w:sz w:val="22"/>
          <w:szCs w:val="22"/>
          <w:lang w:val="pt-PT"/>
        </w:rPr>
        <w:t xml:space="preserve"> Morea</w:t>
      </w:r>
      <w:r w:rsidRPr="00AF1169">
        <w:rPr>
          <w:rFonts w:ascii="Calibri" w:hAnsi="Calibri" w:cs="Calibri"/>
          <w:color w:val="000000"/>
          <w:sz w:val="22"/>
          <w:szCs w:val="22"/>
          <w:vertAlign w:val="superscript"/>
          <w:lang w:val="pt-PT"/>
        </w:rPr>
        <w:t>1</w:t>
      </w:r>
      <w:r w:rsidRPr="00AF1169">
        <w:rPr>
          <w:rFonts w:ascii="Calibri" w:hAnsi="Calibri" w:cs="Calibri"/>
          <w:color w:val="000000"/>
          <w:sz w:val="22"/>
          <w:szCs w:val="22"/>
          <w:lang w:val="pt-PT"/>
        </w:rPr>
        <w:t>, T</w:t>
      </w:r>
      <w:r>
        <w:rPr>
          <w:rFonts w:ascii="Calibri" w:hAnsi="Calibri" w:cs="Calibri"/>
          <w:color w:val="000000"/>
          <w:sz w:val="22"/>
          <w:szCs w:val="22"/>
          <w:lang w:val="pt-PT"/>
        </w:rPr>
        <w:t>.</w:t>
      </w:r>
      <w:r w:rsidRPr="00AF1169">
        <w:rPr>
          <w:rFonts w:ascii="Calibri" w:hAnsi="Calibri" w:cs="Calibri"/>
          <w:color w:val="000000"/>
          <w:sz w:val="22"/>
          <w:szCs w:val="22"/>
          <w:lang w:val="pt-PT"/>
        </w:rPr>
        <w:t xml:space="preserve"> Di Muccio</w:t>
      </w:r>
      <w:r w:rsidRPr="00AF1169">
        <w:rPr>
          <w:rFonts w:ascii="Calibri" w:hAnsi="Calibri" w:cs="Calibri"/>
          <w:color w:val="000000"/>
          <w:sz w:val="22"/>
          <w:szCs w:val="22"/>
          <w:vertAlign w:val="superscript"/>
          <w:lang w:val="pt-PT"/>
        </w:rPr>
        <w:t>4</w:t>
      </w:r>
      <w:r w:rsidRPr="00AF1169">
        <w:rPr>
          <w:rFonts w:ascii="Calibri" w:hAnsi="Calibri" w:cs="Calibri"/>
          <w:color w:val="000000"/>
          <w:sz w:val="22"/>
          <w:szCs w:val="22"/>
          <w:lang w:val="pt-PT"/>
        </w:rPr>
        <w:t xml:space="preserve"> ,  </w:t>
      </w:r>
      <w:r>
        <w:rPr>
          <w:rFonts w:ascii="Calibri" w:hAnsi="Calibri" w:cs="Calibri"/>
          <w:color w:val="000000"/>
          <w:sz w:val="22"/>
          <w:szCs w:val="22"/>
          <w:lang w:val="pt-PT"/>
        </w:rPr>
        <w:t>A.M. Pasieka</w:t>
      </w:r>
      <w:r>
        <w:rPr>
          <w:rFonts w:ascii="Calibri" w:hAnsi="Calibri" w:cs="Calibri"/>
          <w:color w:val="000000"/>
          <w:sz w:val="22"/>
          <w:szCs w:val="22"/>
          <w:vertAlign w:val="superscript"/>
          <w:lang w:val="pt-PT"/>
        </w:rPr>
        <w:t>3</w:t>
      </w:r>
      <w:r>
        <w:rPr>
          <w:rFonts w:ascii="Calibri" w:hAnsi="Calibri" w:cs="Calibri"/>
          <w:color w:val="000000"/>
          <w:sz w:val="22"/>
          <w:szCs w:val="22"/>
          <w:lang w:val="pt-PT"/>
        </w:rPr>
        <w:t>, E. Uliassi</w:t>
      </w:r>
      <w:r w:rsidRPr="00A233F5">
        <w:rPr>
          <w:rFonts w:ascii="Calibri" w:hAnsi="Calibri" w:cs="Calibri"/>
          <w:color w:val="000000"/>
          <w:sz w:val="22"/>
          <w:szCs w:val="22"/>
          <w:vertAlign w:val="superscript"/>
          <w:lang w:val="pt-PT"/>
        </w:rPr>
        <w:t>3</w:t>
      </w:r>
      <w:r>
        <w:rPr>
          <w:rFonts w:ascii="Calibri" w:hAnsi="Calibri" w:cs="Calibri"/>
          <w:color w:val="000000"/>
          <w:sz w:val="22"/>
          <w:szCs w:val="22"/>
          <w:lang w:val="pt-PT"/>
        </w:rPr>
        <w:t xml:space="preserve">, </w:t>
      </w:r>
      <w:r w:rsidRPr="00AF1169">
        <w:rPr>
          <w:rFonts w:ascii="Calibri" w:hAnsi="Calibri" w:cs="Calibri"/>
          <w:color w:val="000000"/>
          <w:sz w:val="22"/>
          <w:szCs w:val="22"/>
          <w:lang w:val="pt-PT"/>
        </w:rPr>
        <w:t>M</w:t>
      </w:r>
      <w:r>
        <w:rPr>
          <w:rFonts w:ascii="Calibri" w:hAnsi="Calibri" w:cs="Calibri"/>
          <w:color w:val="000000"/>
          <w:sz w:val="22"/>
          <w:szCs w:val="22"/>
          <w:lang w:val="pt-PT"/>
        </w:rPr>
        <w:t>.</w:t>
      </w:r>
      <w:r w:rsidRPr="00AF1169">
        <w:rPr>
          <w:rFonts w:ascii="Calibri" w:hAnsi="Calibri" w:cs="Calibri"/>
          <w:color w:val="000000"/>
          <w:sz w:val="22"/>
          <w:szCs w:val="22"/>
          <w:lang w:val="pt-PT"/>
        </w:rPr>
        <w:t xml:space="preserve"> </w:t>
      </w:r>
      <w:r>
        <w:rPr>
          <w:rFonts w:ascii="Calibri" w:hAnsi="Calibri" w:cs="Calibri"/>
          <w:color w:val="000000"/>
          <w:sz w:val="22"/>
          <w:szCs w:val="22"/>
          <w:lang w:val="pt-PT"/>
        </w:rPr>
        <w:t>L.</w:t>
      </w:r>
      <w:r w:rsidRPr="00AF1169">
        <w:rPr>
          <w:rFonts w:ascii="Calibri" w:hAnsi="Calibri" w:cs="Calibri"/>
          <w:color w:val="000000"/>
          <w:sz w:val="22"/>
          <w:szCs w:val="22"/>
          <w:lang w:val="pt-PT"/>
        </w:rPr>
        <w:t xml:space="preserve"> Bolognesi</w:t>
      </w:r>
      <w:bookmarkStart w:id="2" w:name="_Hlk183005829"/>
      <w:r w:rsidRPr="00AF1169">
        <w:rPr>
          <w:rFonts w:ascii="Calibri" w:hAnsi="Calibri" w:cs="Calibri"/>
          <w:color w:val="000000"/>
          <w:sz w:val="22"/>
          <w:szCs w:val="22"/>
          <w:vertAlign w:val="superscript"/>
          <w:lang w:val="pt-PT"/>
        </w:rPr>
        <w:t>3</w:t>
      </w:r>
      <w:bookmarkEnd w:id="2"/>
      <w:r w:rsidRPr="00AF1169">
        <w:rPr>
          <w:rFonts w:ascii="Calibri" w:hAnsi="Calibri" w:cs="Calibri"/>
          <w:color w:val="000000"/>
          <w:sz w:val="22"/>
          <w:szCs w:val="22"/>
          <w:lang w:val="pt-PT"/>
        </w:rPr>
        <w:t xml:space="preserve"> , </w:t>
      </w:r>
      <w:r w:rsidRPr="00AF1169">
        <w:rPr>
          <w:rFonts w:ascii="Calibri" w:hAnsi="Calibri" w:cs="Calibri"/>
          <w:b/>
          <w:bCs/>
          <w:color w:val="000000"/>
          <w:sz w:val="22"/>
          <w:szCs w:val="22"/>
          <w:u w:val="single"/>
          <w:lang w:val="pt-PT"/>
        </w:rPr>
        <w:t>A</w:t>
      </w:r>
      <w:r>
        <w:rPr>
          <w:rFonts w:ascii="Calibri" w:hAnsi="Calibri" w:cs="Calibri"/>
          <w:b/>
          <w:bCs/>
          <w:color w:val="000000"/>
          <w:sz w:val="22"/>
          <w:szCs w:val="22"/>
          <w:u w:val="single"/>
          <w:lang w:val="pt-PT"/>
        </w:rPr>
        <w:t>.</w:t>
      </w:r>
      <w:r w:rsidRPr="00AF1169">
        <w:rPr>
          <w:rFonts w:ascii="Calibri" w:hAnsi="Calibri" w:cs="Calibri"/>
          <w:b/>
          <w:bCs/>
          <w:color w:val="000000"/>
          <w:sz w:val="22"/>
          <w:szCs w:val="22"/>
          <w:u w:val="single"/>
          <w:lang w:val="pt-PT"/>
        </w:rPr>
        <w:t xml:space="preserve"> Ilari</w:t>
      </w:r>
      <w:r w:rsidRPr="00AF1169">
        <w:rPr>
          <w:rFonts w:ascii="Calibri" w:hAnsi="Calibri" w:cs="Calibri"/>
          <w:color w:val="000000"/>
          <w:sz w:val="22"/>
          <w:szCs w:val="22"/>
          <w:u w:val="single"/>
          <w:lang w:val="pt-PT"/>
        </w:rPr>
        <w:t xml:space="preserve"> </w:t>
      </w:r>
      <w:r w:rsidRPr="00AF1169">
        <w:rPr>
          <w:rFonts w:ascii="Calibri" w:hAnsi="Calibri" w:cs="Calibri"/>
          <w:color w:val="000000"/>
          <w:sz w:val="22"/>
          <w:szCs w:val="22"/>
          <w:u w:val="single"/>
          <w:vertAlign w:val="superscript"/>
          <w:lang w:val="pt-PT"/>
        </w:rPr>
        <w:t>1</w:t>
      </w:r>
      <w:r w:rsidRPr="00AF1169">
        <w:rPr>
          <w:rFonts w:ascii="Calibri" w:hAnsi="Calibri" w:cs="Calibri"/>
          <w:color w:val="000000"/>
          <w:sz w:val="22"/>
          <w:szCs w:val="22"/>
          <w:u w:val="single"/>
          <w:lang w:val="pt-PT"/>
        </w:rPr>
        <w:t>*</w:t>
      </w:r>
    </w:p>
    <w:p w14:paraId="334AD590" w14:textId="77777777" w:rsidR="00F40165" w:rsidRPr="00AF1169" w:rsidRDefault="00F40165" w:rsidP="00F40165">
      <w:pPr>
        <w:jc w:val="center"/>
        <w:rPr>
          <w:rFonts w:ascii="Calibri" w:hAnsi="Calibri" w:cs="Calibri"/>
          <w:color w:val="000000"/>
          <w:sz w:val="22"/>
          <w:szCs w:val="22"/>
          <w:u w:val="single"/>
          <w:lang w:val="pt-PT"/>
        </w:rPr>
      </w:pPr>
    </w:p>
    <w:p w14:paraId="58EFD31F" w14:textId="77777777" w:rsidR="00F40165" w:rsidRPr="00AF1169" w:rsidRDefault="00F40165" w:rsidP="00F40165">
      <w:pPr>
        <w:jc w:val="center"/>
        <w:rPr>
          <w:rFonts w:ascii="Calibri" w:hAnsi="Calibri" w:cs="Calibri"/>
          <w:color w:val="000000"/>
          <w:sz w:val="22"/>
          <w:szCs w:val="22"/>
          <w:lang w:val="en-GB"/>
        </w:rPr>
      </w:pPr>
      <w:r w:rsidRPr="00AF1169">
        <w:rPr>
          <w:rFonts w:ascii="Calibri" w:hAnsi="Calibri" w:cs="Calibri"/>
          <w:color w:val="000000"/>
          <w:sz w:val="22"/>
          <w:szCs w:val="22"/>
          <w:vertAlign w:val="superscript"/>
          <w:lang w:val="en-GB"/>
        </w:rPr>
        <w:t>1</w:t>
      </w:r>
      <w:r w:rsidRPr="00AF1169">
        <w:rPr>
          <w:rFonts w:ascii="Calibri" w:hAnsi="Calibri" w:cs="Calibri"/>
          <w:color w:val="000000"/>
          <w:sz w:val="22"/>
          <w:szCs w:val="22"/>
          <w:lang w:val="en-GB"/>
        </w:rPr>
        <w:t>Institute of Molecular Biology and Pathology, Italian National Research Council, IBPM-CNR,</w:t>
      </w:r>
    </w:p>
    <w:p w14:paraId="038335FD" w14:textId="77777777" w:rsidR="00F40165" w:rsidRPr="00AF1169" w:rsidRDefault="00F40165" w:rsidP="00F40165">
      <w:pPr>
        <w:jc w:val="center"/>
        <w:rPr>
          <w:rFonts w:ascii="Calibri" w:hAnsi="Calibri" w:cs="Calibri"/>
          <w:color w:val="000000"/>
          <w:sz w:val="22"/>
          <w:szCs w:val="22"/>
          <w:lang w:val="en-GB"/>
        </w:rPr>
      </w:pPr>
      <w:r w:rsidRPr="00AF1169">
        <w:rPr>
          <w:rFonts w:ascii="Calibri" w:hAnsi="Calibri" w:cs="Calibri"/>
          <w:color w:val="000000"/>
          <w:sz w:val="22"/>
          <w:szCs w:val="22"/>
          <w:vertAlign w:val="superscript"/>
          <w:lang w:val="en-GB"/>
        </w:rPr>
        <w:t>2</w:t>
      </w:r>
      <w:r w:rsidRPr="00AF1169">
        <w:rPr>
          <w:rFonts w:ascii="Calibri" w:hAnsi="Calibri" w:cs="Calibri"/>
          <w:color w:val="000000"/>
          <w:sz w:val="22"/>
          <w:szCs w:val="22"/>
          <w:lang w:val="en-GB"/>
        </w:rPr>
        <w:t>Department of Biochemical Sciences, Sapienza University</w:t>
      </w:r>
    </w:p>
    <w:p w14:paraId="5BBAE9B3" w14:textId="77777777" w:rsidR="00F40165" w:rsidRPr="00AF1169" w:rsidRDefault="00F40165" w:rsidP="00F40165">
      <w:pPr>
        <w:jc w:val="center"/>
        <w:rPr>
          <w:rFonts w:ascii="Calibri" w:hAnsi="Calibri" w:cs="Calibri"/>
          <w:color w:val="000000"/>
          <w:sz w:val="22"/>
          <w:szCs w:val="22"/>
          <w:lang w:val="en-GB"/>
        </w:rPr>
      </w:pPr>
      <w:r w:rsidRPr="00AF1169">
        <w:rPr>
          <w:rFonts w:ascii="Calibri" w:hAnsi="Calibri" w:cs="Calibri"/>
          <w:color w:val="000000"/>
          <w:sz w:val="22"/>
          <w:szCs w:val="22"/>
          <w:vertAlign w:val="superscript"/>
          <w:lang w:val="en-GB"/>
        </w:rPr>
        <w:t>3</w:t>
      </w:r>
      <w:r w:rsidRPr="00AF1169">
        <w:rPr>
          <w:rFonts w:ascii="Calibri" w:hAnsi="Calibri" w:cs="Calibri"/>
          <w:color w:val="000000"/>
          <w:sz w:val="22"/>
          <w:szCs w:val="22"/>
          <w:lang w:val="en-GB"/>
        </w:rPr>
        <w:t>Department of Pharmacy and Biotechnology,</w:t>
      </w:r>
      <w:r>
        <w:rPr>
          <w:rFonts w:ascii="Calibri" w:hAnsi="Calibri" w:cs="Calibri"/>
          <w:color w:val="000000"/>
          <w:sz w:val="22"/>
          <w:szCs w:val="22"/>
          <w:lang w:val="en-GB"/>
        </w:rPr>
        <w:t xml:space="preserve"> </w:t>
      </w:r>
      <w:r w:rsidRPr="00AF1169">
        <w:rPr>
          <w:rFonts w:ascii="Calibri" w:hAnsi="Calibri" w:cs="Calibri"/>
          <w:color w:val="000000"/>
          <w:sz w:val="22"/>
          <w:szCs w:val="22"/>
          <w:lang w:val="en-GB"/>
        </w:rPr>
        <w:t>University of Bologna</w:t>
      </w:r>
    </w:p>
    <w:p w14:paraId="2CA45A1C" w14:textId="77777777" w:rsidR="00F40165" w:rsidRPr="00AF1169" w:rsidRDefault="00F40165" w:rsidP="00F40165">
      <w:pPr>
        <w:jc w:val="center"/>
        <w:rPr>
          <w:rFonts w:ascii="Calibri" w:hAnsi="Calibri" w:cs="Calibri"/>
          <w:color w:val="000000"/>
          <w:sz w:val="22"/>
          <w:szCs w:val="22"/>
          <w:lang w:val="it-IT"/>
        </w:rPr>
      </w:pPr>
      <w:r w:rsidRPr="00AF1169">
        <w:rPr>
          <w:rFonts w:ascii="Calibri" w:hAnsi="Calibri" w:cs="Calibri"/>
          <w:color w:val="000000"/>
          <w:sz w:val="22"/>
          <w:szCs w:val="22"/>
          <w:vertAlign w:val="superscript"/>
          <w:lang w:val="it-IT"/>
        </w:rPr>
        <w:t>4</w:t>
      </w:r>
      <w:r w:rsidRPr="00AF1169">
        <w:rPr>
          <w:rFonts w:ascii="Calibri" w:hAnsi="Calibri" w:cs="Calibri"/>
          <w:color w:val="000000"/>
          <w:sz w:val="22"/>
          <w:szCs w:val="22"/>
          <w:lang w:val="it-IT"/>
        </w:rPr>
        <w:t xml:space="preserve"> Dipartimento di Malattie Infettive, Istituto Superiore di Sanità</w:t>
      </w:r>
    </w:p>
    <w:p w14:paraId="3821B518" w14:textId="77777777" w:rsidR="00F40165" w:rsidRPr="00A233F5" w:rsidRDefault="00F40165" w:rsidP="00F40165">
      <w:pPr>
        <w:jc w:val="center"/>
        <w:rPr>
          <w:rFonts w:ascii="Calibri" w:hAnsi="Calibri" w:cs="Calibri"/>
          <w:b/>
          <w:bCs/>
          <w:color w:val="000000"/>
          <w:sz w:val="22"/>
          <w:szCs w:val="22"/>
        </w:rPr>
      </w:pPr>
      <w:r w:rsidRPr="00A233F5">
        <w:rPr>
          <w:rFonts w:ascii="Calibri" w:hAnsi="Calibri" w:cs="Calibri"/>
          <w:b/>
          <w:bCs/>
          <w:color w:val="000000"/>
          <w:sz w:val="22"/>
          <w:szCs w:val="22"/>
        </w:rPr>
        <w:t>email presenter: andrea.ilari@cnr.it</w:t>
      </w:r>
    </w:p>
    <w:p w14:paraId="002D3A28" w14:textId="77777777" w:rsidR="00F40165" w:rsidRDefault="00F40165" w:rsidP="00F40165">
      <w:pPr>
        <w:jc w:val="both"/>
        <w:rPr>
          <w:rFonts w:ascii="Calibri" w:hAnsi="Calibri" w:cs="Calibri"/>
          <w:sz w:val="22"/>
          <w:szCs w:val="22"/>
          <w:lang w:eastAsia="it-IT"/>
        </w:rPr>
      </w:pPr>
    </w:p>
    <w:p w14:paraId="621CBB3D" w14:textId="77777777" w:rsidR="00F40165" w:rsidRPr="00A233F5" w:rsidRDefault="00F40165" w:rsidP="00F40165">
      <w:pPr>
        <w:jc w:val="both"/>
        <w:rPr>
          <w:rFonts w:ascii="Calibri" w:hAnsi="Calibri" w:cs="Calibri"/>
          <w:sz w:val="22"/>
          <w:szCs w:val="22"/>
          <w:lang w:eastAsia="it-IT"/>
        </w:rPr>
      </w:pPr>
      <w:r w:rsidRPr="00A233F5">
        <w:rPr>
          <w:rFonts w:ascii="Calibri" w:hAnsi="Calibri" w:cs="Calibri"/>
          <w:sz w:val="22"/>
          <w:szCs w:val="22"/>
          <w:lang w:eastAsia="it-IT"/>
        </w:rPr>
        <w:t>Leishmaniasis is a vector-borne neglected disease with high morbidity and mortality rates, considered an emergent global health concern. The disease is endemic in tropical and subtropical areas but also in southern Europe, comprising up to 1.2 million cases each year. Currently used drugs possess several drawbacks, such as limited efficacy, toxic side-effects, and resistance development. All in all, this alarming scenario advocates for the development of new drugs. Trypanothione reductase (TR), a validated antileishmanial target, is a parasite-specific enzyme critical for antioxidant defense. The absence of TR in the host, its vital role for the parasite and the development of numerous TR inhibitors make this enzyme an attractive target for antileishmanial drugs. However, among the TR-inhibiting compounds reported so far, only few molecules possess adequate antiparasitic/inhibitory activity, mainly due to two aspects: i) survival of the parasites is affected when TR activity is reduced by more than 90%; ii) a large and featureless TR active site hampers efforts to develop effective inhibitors.</w:t>
      </w:r>
    </w:p>
    <w:p w14:paraId="03480189" w14:textId="77777777" w:rsidR="00F40165" w:rsidRPr="00A233F5" w:rsidRDefault="00F40165" w:rsidP="00F40165">
      <w:pPr>
        <w:jc w:val="both"/>
        <w:rPr>
          <w:rFonts w:ascii="Calibri" w:hAnsi="Calibri" w:cs="Calibri"/>
          <w:sz w:val="22"/>
          <w:szCs w:val="22"/>
        </w:rPr>
      </w:pPr>
      <w:r w:rsidRPr="00A233F5">
        <w:rPr>
          <w:rFonts w:ascii="Calibri" w:hAnsi="Calibri" w:cs="Calibri"/>
          <w:sz w:val="22"/>
          <w:szCs w:val="22"/>
        </w:rPr>
        <w:t>Recently, targeted protein degradation has emerged as an alternative strategy to traditional drug design. This methodology, which has proven its efficiency against viral infection and tumors, is based on the utilization of bifunctional molecules, namely PROTACs (PROteolysis Targeting Chimeras) that force the ubiquitination of a target protein yielding its proteasome-dependent degradation (</w:t>
      </w:r>
      <w:r>
        <w:rPr>
          <w:rFonts w:ascii="Calibri" w:hAnsi="Calibri" w:cs="Calibri"/>
          <w:sz w:val="22"/>
          <w:szCs w:val="22"/>
        </w:rPr>
        <w:t>1</w:t>
      </w:r>
      <w:r w:rsidRPr="00A233F5">
        <w:rPr>
          <w:rFonts w:ascii="Calibri" w:hAnsi="Calibri" w:cs="Calibri"/>
          <w:sz w:val="22"/>
          <w:szCs w:val="22"/>
        </w:rPr>
        <w:t xml:space="preserve">). We </w:t>
      </w:r>
      <w:r>
        <w:rPr>
          <w:rFonts w:ascii="Calibri" w:hAnsi="Calibri" w:cs="Calibri"/>
          <w:sz w:val="22"/>
          <w:szCs w:val="22"/>
        </w:rPr>
        <w:t xml:space="preserve">investigated the Ubiquitin Proteosome System in Leishmania </w:t>
      </w:r>
      <w:r w:rsidRPr="00A233F5">
        <w:rPr>
          <w:rFonts w:ascii="Calibri" w:hAnsi="Calibri" w:cs="Calibri"/>
          <w:sz w:val="22"/>
          <w:szCs w:val="22"/>
        </w:rPr>
        <w:t xml:space="preserve">to apply this new approach to tackle Leishmaniasis infection by engaging TR towards degradation. In this context, we rationally designed bifunctional PROTACs, we characterized the inhibition carried out on </w:t>
      </w:r>
      <w:r w:rsidRPr="005C0A96">
        <w:rPr>
          <w:rFonts w:ascii="Calibri" w:hAnsi="Calibri" w:cs="Calibri"/>
          <w:i/>
          <w:iCs/>
          <w:sz w:val="22"/>
          <w:szCs w:val="22"/>
        </w:rPr>
        <w:t>Leishmania infantum</w:t>
      </w:r>
      <w:r w:rsidRPr="00A233F5">
        <w:rPr>
          <w:rFonts w:ascii="Calibri" w:hAnsi="Calibri" w:cs="Calibri"/>
          <w:sz w:val="22"/>
          <w:szCs w:val="22"/>
        </w:rPr>
        <w:t xml:space="preserve"> TR by a promising one, namely A</w:t>
      </w:r>
      <w:r>
        <w:rPr>
          <w:rFonts w:ascii="Calibri" w:hAnsi="Calibri" w:cs="Calibri"/>
          <w:sz w:val="22"/>
          <w:szCs w:val="22"/>
        </w:rPr>
        <w:t>P41</w:t>
      </w:r>
      <w:r w:rsidRPr="00A233F5">
        <w:rPr>
          <w:rFonts w:ascii="Calibri" w:hAnsi="Calibri" w:cs="Calibri"/>
          <w:sz w:val="22"/>
          <w:szCs w:val="22"/>
        </w:rPr>
        <w:t>, using X-ray crystallography and spectroscopic methods and we tested A</w:t>
      </w:r>
      <w:r>
        <w:rPr>
          <w:rFonts w:ascii="Calibri" w:hAnsi="Calibri" w:cs="Calibri"/>
          <w:sz w:val="22"/>
          <w:szCs w:val="22"/>
        </w:rPr>
        <w:t>P41</w:t>
      </w:r>
      <w:r w:rsidRPr="00A233F5">
        <w:rPr>
          <w:rFonts w:ascii="Calibri" w:hAnsi="Calibri" w:cs="Calibri"/>
          <w:sz w:val="22"/>
          <w:szCs w:val="22"/>
        </w:rPr>
        <w:t xml:space="preserve"> against </w:t>
      </w:r>
      <w:r w:rsidRPr="00D21AAC">
        <w:rPr>
          <w:rFonts w:ascii="Calibri" w:hAnsi="Calibri" w:cs="Calibri"/>
          <w:i/>
          <w:iCs/>
          <w:sz w:val="22"/>
          <w:szCs w:val="22"/>
        </w:rPr>
        <w:t>L. infantum</w:t>
      </w:r>
      <w:r w:rsidRPr="00A233F5">
        <w:rPr>
          <w:rFonts w:ascii="Calibri" w:hAnsi="Calibri" w:cs="Calibri"/>
          <w:sz w:val="22"/>
          <w:szCs w:val="22"/>
        </w:rPr>
        <w:t xml:space="preserve"> parasite</w:t>
      </w:r>
      <w:r>
        <w:rPr>
          <w:rFonts w:ascii="Calibri" w:hAnsi="Calibri" w:cs="Calibri"/>
          <w:sz w:val="22"/>
          <w:szCs w:val="22"/>
        </w:rPr>
        <w:t>.</w:t>
      </w:r>
    </w:p>
    <w:p w14:paraId="7C6F959F" w14:textId="77777777" w:rsidR="00F40165" w:rsidRDefault="00F40165" w:rsidP="00F40165">
      <w:pPr>
        <w:rPr>
          <w:rFonts w:ascii="Calibri" w:hAnsi="Calibri" w:cs="Calibri"/>
          <w:b/>
          <w:bCs/>
          <w:sz w:val="22"/>
          <w:szCs w:val="22"/>
          <w:lang w:val="it-IT"/>
        </w:rPr>
      </w:pPr>
    </w:p>
    <w:p w14:paraId="5FCBDF16" w14:textId="77777777" w:rsidR="00F40165" w:rsidRDefault="00F40165" w:rsidP="00F40165">
      <w:pPr>
        <w:rPr>
          <w:rFonts w:ascii="Calibri" w:hAnsi="Calibri" w:cs="Calibri"/>
          <w:b/>
          <w:bCs/>
          <w:sz w:val="22"/>
          <w:szCs w:val="22"/>
          <w:lang w:val="it-IT"/>
        </w:rPr>
      </w:pPr>
      <w:r w:rsidRPr="00867D31">
        <w:rPr>
          <w:rFonts w:ascii="Calibri" w:hAnsi="Calibri" w:cs="Calibri"/>
          <w:b/>
          <w:bCs/>
          <w:sz w:val="22"/>
          <w:szCs w:val="22"/>
          <w:lang w:val="it-IT"/>
        </w:rPr>
        <w:t>Reference</w:t>
      </w:r>
      <w:r>
        <w:rPr>
          <w:rFonts w:ascii="Calibri" w:hAnsi="Calibri" w:cs="Calibri"/>
          <w:b/>
          <w:bCs/>
          <w:sz w:val="22"/>
          <w:szCs w:val="22"/>
          <w:lang w:val="it-IT"/>
        </w:rPr>
        <w:t xml:space="preserve">: </w:t>
      </w:r>
    </w:p>
    <w:p w14:paraId="2B3A362C" w14:textId="77777777" w:rsidR="00F40165" w:rsidRDefault="00F40165" w:rsidP="00F40165">
      <w:pPr>
        <w:rPr>
          <w:rFonts w:ascii="Calibri" w:hAnsi="Calibri" w:cs="Calibri"/>
          <w:sz w:val="22"/>
          <w:szCs w:val="22"/>
          <w:lang w:val="hu-HU"/>
        </w:rPr>
      </w:pPr>
      <w:r>
        <w:rPr>
          <w:rFonts w:ascii="Calibri" w:hAnsi="Calibri" w:cs="Calibri"/>
          <w:sz w:val="22"/>
          <w:szCs w:val="22"/>
          <w:lang w:val="hu-HU"/>
        </w:rPr>
        <w:t xml:space="preserve">[1] </w:t>
      </w:r>
      <w:r w:rsidRPr="00867D31">
        <w:rPr>
          <w:rFonts w:ascii="Calibri" w:hAnsi="Calibri" w:cs="Calibri"/>
          <w:sz w:val="22"/>
          <w:szCs w:val="22"/>
          <w:lang w:val="hu-HU"/>
        </w:rPr>
        <w:t>Espinoza-Chávez RM</w:t>
      </w:r>
      <w:r>
        <w:rPr>
          <w:rFonts w:ascii="Calibri" w:hAnsi="Calibri" w:cs="Calibri"/>
          <w:sz w:val="22"/>
          <w:szCs w:val="22"/>
          <w:lang w:val="hu-HU"/>
        </w:rPr>
        <w:t xml:space="preserve"> et al. </w:t>
      </w:r>
      <w:r w:rsidRPr="00867D31">
        <w:rPr>
          <w:rFonts w:ascii="Calibri" w:hAnsi="Calibri" w:cs="Calibri"/>
          <w:sz w:val="22"/>
          <w:szCs w:val="22"/>
          <w:lang w:val="hu-HU"/>
        </w:rPr>
        <w:t xml:space="preserve"> ACS Bio Med Chem Au. 2022 Dec 15;3(1):32-45. </w:t>
      </w:r>
    </w:p>
    <w:p w14:paraId="733CEE07" w14:textId="77777777" w:rsidR="00F40165" w:rsidRDefault="00F40165" w:rsidP="00F40165">
      <w:pPr>
        <w:rPr>
          <w:rFonts w:ascii="Calibri" w:hAnsi="Calibri" w:cs="Calibri"/>
          <w:b/>
          <w:bCs/>
          <w:sz w:val="22"/>
          <w:szCs w:val="22"/>
          <w:lang w:val="hu-HU"/>
        </w:rPr>
      </w:pPr>
    </w:p>
    <w:p w14:paraId="03847DA7" w14:textId="77777777" w:rsidR="00F40165" w:rsidRPr="00443D12" w:rsidRDefault="00F40165" w:rsidP="00F40165">
      <w:pPr>
        <w:rPr>
          <w:rFonts w:ascii="Calibri" w:hAnsi="Calibri" w:cs="Calibri"/>
          <w:b/>
          <w:bCs/>
          <w:sz w:val="22"/>
          <w:szCs w:val="22"/>
        </w:rPr>
      </w:pPr>
      <w:r w:rsidRPr="00867D31">
        <w:rPr>
          <w:rFonts w:ascii="Calibri" w:hAnsi="Calibri" w:cs="Calibri"/>
          <w:b/>
          <w:bCs/>
          <w:sz w:val="22"/>
          <w:szCs w:val="22"/>
          <w:lang w:val="hu-HU"/>
        </w:rPr>
        <w:lastRenderedPageBreak/>
        <w:t>Acknowledgment</w:t>
      </w:r>
      <w:r>
        <w:rPr>
          <w:rFonts w:ascii="Calibri" w:hAnsi="Calibri" w:cs="Calibri"/>
          <w:b/>
          <w:bCs/>
          <w:sz w:val="22"/>
          <w:szCs w:val="22"/>
          <w:lang w:val="hu-HU"/>
        </w:rPr>
        <w:t>s</w:t>
      </w:r>
      <w:r>
        <w:rPr>
          <w:rFonts w:ascii="Calibri" w:hAnsi="Calibri" w:cs="Calibri"/>
          <w:sz w:val="22"/>
          <w:szCs w:val="22"/>
          <w:lang w:val="hu-HU"/>
        </w:rPr>
        <w:t xml:space="preserve">: the project was funded by: </w:t>
      </w:r>
      <w:r w:rsidRPr="00867D31">
        <w:rPr>
          <w:rFonts w:ascii="Calibri" w:hAnsi="Calibri" w:cs="Calibri"/>
          <w:sz w:val="22"/>
          <w:szCs w:val="22"/>
          <w:lang w:val="hu-HU"/>
        </w:rPr>
        <w:t xml:space="preserve">MIUR- FISR2019_03796 </w:t>
      </w:r>
      <w:r>
        <w:rPr>
          <w:rFonts w:ascii="Calibri" w:hAnsi="Calibri" w:cs="Calibri"/>
          <w:sz w:val="22"/>
          <w:szCs w:val="22"/>
          <w:lang w:val="hu-HU"/>
        </w:rPr>
        <w:t>–</w:t>
      </w:r>
      <w:r w:rsidRPr="00867D31">
        <w:rPr>
          <w:rFonts w:ascii="Calibri" w:hAnsi="Calibri" w:cs="Calibri"/>
          <w:sz w:val="22"/>
          <w:szCs w:val="22"/>
          <w:lang w:val="hu-HU"/>
        </w:rPr>
        <w:t xml:space="preserve"> PROLEISH</w:t>
      </w:r>
      <w:r>
        <w:rPr>
          <w:rFonts w:ascii="Calibri" w:hAnsi="Calibri" w:cs="Calibri"/>
          <w:sz w:val="22"/>
          <w:szCs w:val="22"/>
          <w:lang w:val="hu-HU"/>
        </w:rPr>
        <w:t xml:space="preserve"> and </w:t>
      </w:r>
      <w:r w:rsidRPr="00867D31">
        <w:rPr>
          <w:rFonts w:ascii="Calibri" w:hAnsi="Calibri" w:cs="Calibri"/>
          <w:sz w:val="22"/>
          <w:szCs w:val="22"/>
          <w:lang w:val="hu-HU"/>
        </w:rPr>
        <w:t xml:space="preserve">ITACA.SB,  </w:t>
      </w:r>
      <w:r>
        <w:rPr>
          <w:rFonts w:ascii="Calibri" w:hAnsi="Calibri" w:cs="Calibri"/>
          <w:sz w:val="22"/>
          <w:szCs w:val="22"/>
          <w:lang w:val="hu-HU"/>
        </w:rPr>
        <w:t>(</w:t>
      </w:r>
      <w:r w:rsidRPr="00867D31">
        <w:rPr>
          <w:rFonts w:ascii="Calibri" w:hAnsi="Calibri" w:cs="Calibri"/>
          <w:sz w:val="22"/>
          <w:szCs w:val="22"/>
          <w:lang w:val="hu-HU"/>
        </w:rPr>
        <w:t>project n° IR0000009) within the call MUR D.D. 0003264 dated 28/12/2021 PNRR M4/C2/L3.1.1, funded by the European Union NextGenerationEU to A.I.</w:t>
      </w:r>
      <w:r>
        <w:rPr>
          <w:rFonts w:ascii="Calibri" w:hAnsi="Calibri" w:cs="Calibri"/>
          <w:sz w:val="22"/>
          <w:szCs w:val="22"/>
        </w:rPr>
        <w:br w:type="page"/>
      </w:r>
    </w:p>
    <w:p w14:paraId="54EC6204" w14:textId="77777777" w:rsidR="001C2B5E" w:rsidRPr="00F40165" w:rsidRDefault="001C2B5E" w:rsidP="001C2B5E">
      <w:pPr>
        <w:spacing w:line="360" w:lineRule="auto"/>
        <w:jc w:val="center"/>
        <w:rPr>
          <w:rFonts w:ascii="Calibri" w:hAnsi="Calibri" w:cs="Calibri"/>
          <w:b/>
          <w:color w:val="006699"/>
        </w:rPr>
      </w:pPr>
    </w:p>
    <w:p w14:paraId="5FC8DF5B" w14:textId="66EAB346" w:rsidR="001C2B5E" w:rsidRPr="009B77D7" w:rsidRDefault="001C2B5E" w:rsidP="001C2B5E">
      <w:pPr>
        <w:spacing w:line="360" w:lineRule="auto"/>
        <w:jc w:val="center"/>
        <w:rPr>
          <w:rFonts w:ascii="Calibri" w:hAnsi="Calibri" w:cs="Calibri"/>
          <w:b/>
          <w:color w:val="006699"/>
          <w:lang w:val="en-GB"/>
        </w:rPr>
      </w:pPr>
      <w:r>
        <w:rPr>
          <w:rFonts w:ascii="Calibri" w:hAnsi="Calibri" w:cs="Calibri"/>
          <w:b/>
          <w:color w:val="006699"/>
          <w:lang w:val="en-GB"/>
        </w:rPr>
        <w:t>Natural Products against Neglected Disesases</w:t>
      </w:r>
    </w:p>
    <w:p w14:paraId="382D9DCB" w14:textId="77777777" w:rsidR="001C2B5E" w:rsidRPr="003B2217" w:rsidRDefault="001C2B5E" w:rsidP="001C2B5E">
      <w:pPr>
        <w:spacing w:line="360" w:lineRule="auto"/>
        <w:jc w:val="center"/>
        <w:rPr>
          <w:rFonts w:ascii="Calibri" w:hAnsi="Calibri" w:cs="Calibri"/>
        </w:rPr>
      </w:pPr>
      <w:r w:rsidRPr="003B2217">
        <w:rPr>
          <w:rFonts w:ascii="Calibri" w:hAnsi="Calibri" w:cs="Calibri"/>
          <w:color w:val="000000"/>
          <w:u w:val="single"/>
        </w:rPr>
        <w:t>Schmidt TJ</w:t>
      </w:r>
    </w:p>
    <w:p w14:paraId="490B58A0" w14:textId="77777777" w:rsidR="001C2B5E" w:rsidRPr="00E45C3D" w:rsidRDefault="001C2B5E" w:rsidP="001C2B5E">
      <w:pPr>
        <w:jc w:val="center"/>
        <w:rPr>
          <w:rFonts w:ascii="Calibri" w:hAnsi="Calibri" w:cs="Calibri"/>
          <w:color w:val="000000"/>
          <w:sz w:val="22"/>
          <w:szCs w:val="22"/>
          <w:lang w:val="en-GB"/>
        </w:rPr>
      </w:pPr>
      <w:r w:rsidRPr="00E45C3D">
        <w:rPr>
          <w:rFonts w:ascii="Calibri" w:hAnsi="Calibri" w:cs="Calibri"/>
          <w:color w:val="000000"/>
          <w:sz w:val="22"/>
          <w:szCs w:val="22"/>
          <w:vertAlign w:val="superscript"/>
          <w:lang w:val="en-GB"/>
        </w:rPr>
        <w:t xml:space="preserve">a </w:t>
      </w:r>
      <w:r w:rsidRPr="00E45C3D">
        <w:rPr>
          <w:rFonts w:ascii="Calibri" w:hAnsi="Calibri" w:cs="Calibri"/>
          <w:color w:val="000000"/>
          <w:sz w:val="22"/>
          <w:szCs w:val="22"/>
          <w:lang w:val="en-GB"/>
        </w:rPr>
        <w:t>University of Münster, Germany</w:t>
      </w:r>
    </w:p>
    <w:p w14:paraId="5353D0D5" w14:textId="77777777" w:rsidR="001C2B5E" w:rsidRPr="00E45C3D" w:rsidRDefault="001C2B5E" w:rsidP="001C2B5E">
      <w:pPr>
        <w:jc w:val="center"/>
        <w:rPr>
          <w:rFonts w:ascii="Calibri" w:hAnsi="Calibri" w:cs="Calibri"/>
          <w:color w:val="000000"/>
          <w:sz w:val="22"/>
          <w:szCs w:val="22"/>
        </w:rPr>
      </w:pPr>
      <w:r w:rsidRPr="00E45C3D">
        <w:rPr>
          <w:rFonts w:ascii="Calibri" w:hAnsi="Calibri" w:cs="Calibri"/>
          <w:color w:val="000000"/>
          <w:sz w:val="22"/>
          <w:szCs w:val="22"/>
        </w:rPr>
        <w:t>thomschm@uni-muenster.de</w:t>
      </w:r>
    </w:p>
    <w:p w14:paraId="517F6BFF" w14:textId="77777777" w:rsidR="001C2B5E" w:rsidRPr="00E45C3D" w:rsidRDefault="001C2B5E" w:rsidP="001C2B5E">
      <w:pPr>
        <w:jc w:val="center"/>
        <w:rPr>
          <w:rFonts w:ascii="Calibri" w:hAnsi="Calibri" w:cs="Calibri"/>
          <w:sz w:val="22"/>
          <w:szCs w:val="22"/>
        </w:rPr>
      </w:pPr>
    </w:p>
    <w:p w14:paraId="205EEFB4" w14:textId="77777777" w:rsidR="001C2B5E" w:rsidRDefault="001C2B5E" w:rsidP="001C2B5E">
      <w:pPr>
        <w:jc w:val="both"/>
        <w:rPr>
          <w:rFonts w:ascii="Calibri" w:hAnsi="Calibri" w:cs="Calibri"/>
        </w:rPr>
      </w:pPr>
      <w:r>
        <w:rPr>
          <w:rFonts w:ascii="Calibri" w:hAnsi="Calibri" w:cs="Calibri"/>
        </w:rPr>
        <w:t xml:space="preserve">Research in my group, for the last 20 years or more, has had a major focus on the search for and characterization of new natural products (NPs) against neglected diseases. Some examples of interesting hits with antiprotozoal activity from various biosynthetic classes of NPs (e.g. sesquiterpenes, polyacetylenes, chromene derivatives, neolignans as well as, most recently, aminosteroids and aminotriterpenes) will be presented. Following our initial discovery [1], that certain sesquiterpene lactones (STLs) from plants of the family Asteraceae show very strong activity against protozoans, especially trypanosomatid parasites, we have tested, over the years, more than 130 chemically diverse STLs and studied their antitrypanosomal structure-activity relationships in detail [2]. The latest development in this long-term work is the discovery that STLs from </w:t>
      </w:r>
      <w:r w:rsidRPr="003B2217">
        <w:rPr>
          <w:rFonts w:ascii="Calibri" w:hAnsi="Calibri" w:cs="Calibri"/>
          <w:i/>
          <w:iCs/>
        </w:rPr>
        <w:t>Arnica montana</w:t>
      </w:r>
      <w:r>
        <w:rPr>
          <w:rFonts w:ascii="Calibri" w:hAnsi="Calibri" w:cs="Calibri"/>
        </w:rPr>
        <w:t>, as constituents of Arnica tincture, can be used with very good efficacy to treat cutaneous Leishmaniasis in an animal model [3] and in human patients: The preparation is currently undergoing clinical studies in Colombia where it shows very promising results [4].</w:t>
      </w:r>
    </w:p>
    <w:p w14:paraId="751E8C9A" w14:textId="77777777" w:rsidR="001C2B5E" w:rsidRPr="00B002F8" w:rsidRDefault="001C2B5E" w:rsidP="001C2B5E">
      <w:pPr>
        <w:jc w:val="both"/>
        <w:rPr>
          <w:rFonts w:ascii="Calibri" w:hAnsi="Calibri" w:cs="Calibri"/>
          <w:lang w:eastAsia="it-IT"/>
        </w:rPr>
      </w:pPr>
    </w:p>
    <w:p w14:paraId="3004E356" w14:textId="77777777" w:rsidR="001C2B5E" w:rsidRDefault="001C2B5E" w:rsidP="001C2B5E">
      <w:pPr>
        <w:rPr>
          <w:rFonts w:ascii="Calibri" w:hAnsi="Calibri" w:cs="Calibri"/>
          <w:b/>
          <w:bCs/>
          <w:sz w:val="22"/>
          <w:szCs w:val="22"/>
        </w:rPr>
      </w:pPr>
      <w:r>
        <w:rPr>
          <w:rFonts w:ascii="Calibri" w:hAnsi="Calibri" w:cs="Calibri"/>
          <w:b/>
          <w:bCs/>
          <w:sz w:val="22"/>
          <w:szCs w:val="22"/>
        </w:rPr>
        <w:t>References</w:t>
      </w:r>
    </w:p>
    <w:p w14:paraId="46922997" w14:textId="77777777" w:rsidR="001C2B5E" w:rsidRPr="0088668E" w:rsidRDefault="001C2B5E" w:rsidP="001C2B5E">
      <w:pPr>
        <w:jc w:val="both"/>
        <w:rPr>
          <w:rFonts w:ascii="Calibri" w:hAnsi="Calibri" w:cs="Calibri"/>
          <w:spacing w:val="2"/>
          <w:sz w:val="22"/>
          <w:szCs w:val="22"/>
          <w:shd w:val="clear" w:color="auto" w:fill="FFFFFF"/>
          <w:lang w:val="hu-HU"/>
        </w:rPr>
      </w:pPr>
      <w:r>
        <w:rPr>
          <w:rFonts w:ascii="Calibri" w:hAnsi="Calibri" w:cs="Calibri"/>
          <w:sz w:val="22"/>
          <w:szCs w:val="22"/>
          <w:lang w:val="hu-HU"/>
        </w:rPr>
        <w:t xml:space="preserve">[1] </w:t>
      </w:r>
      <w:r w:rsidRPr="0088668E">
        <w:rPr>
          <w:rFonts w:ascii="Calibri" w:hAnsi="Calibri" w:cs="Calibri"/>
          <w:sz w:val="22"/>
          <w:szCs w:val="22"/>
          <w:lang w:val="hu-HU"/>
        </w:rPr>
        <w:t>Schmidt TJ, Willuhn G, Brun R, Khalid SA. Antitrypanosomal Activity of Helenalin and some Related Sesquiterpene Lactones. Planta Med</w:t>
      </w:r>
      <w:r>
        <w:rPr>
          <w:rFonts w:ascii="Calibri" w:hAnsi="Calibri" w:cs="Calibri"/>
          <w:sz w:val="22"/>
          <w:szCs w:val="22"/>
          <w:lang w:val="hu-HU"/>
        </w:rPr>
        <w:t>.</w:t>
      </w:r>
      <w:r w:rsidRPr="0088668E">
        <w:rPr>
          <w:rFonts w:ascii="Calibri" w:hAnsi="Calibri" w:cs="Calibri"/>
          <w:sz w:val="22"/>
          <w:szCs w:val="22"/>
          <w:lang w:val="hu-HU"/>
        </w:rPr>
        <w:t xml:space="preserve"> </w:t>
      </w:r>
      <w:r>
        <w:rPr>
          <w:rFonts w:ascii="Calibri" w:hAnsi="Calibri" w:cs="Calibri"/>
          <w:sz w:val="22"/>
          <w:szCs w:val="22"/>
          <w:lang w:val="hu-HU"/>
        </w:rPr>
        <w:t xml:space="preserve">2002, </w:t>
      </w:r>
      <w:r w:rsidRPr="0088668E">
        <w:rPr>
          <w:rFonts w:ascii="Calibri" w:hAnsi="Calibri" w:cs="Calibri"/>
          <w:sz w:val="22"/>
          <w:szCs w:val="22"/>
          <w:lang w:val="hu-HU"/>
        </w:rPr>
        <w:t>68, 750-1.</w:t>
      </w:r>
      <w:r w:rsidRPr="0088668E">
        <w:rPr>
          <w:lang w:val="hu-HU"/>
        </w:rPr>
        <w:t xml:space="preserve"> </w:t>
      </w:r>
      <w:r w:rsidRPr="0088668E">
        <w:rPr>
          <w:rFonts w:ascii="Calibri" w:hAnsi="Calibri" w:cs="Calibri"/>
          <w:sz w:val="22"/>
          <w:szCs w:val="22"/>
          <w:lang w:val="hu-HU"/>
        </w:rPr>
        <w:t>DOI: 10.1055/s-2002-33799</w:t>
      </w:r>
    </w:p>
    <w:p w14:paraId="70526D67" w14:textId="77777777" w:rsidR="001C2B5E" w:rsidRDefault="001C2B5E" w:rsidP="001C2B5E">
      <w:pPr>
        <w:jc w:val="both"/>
        <w:rPr>
          <w:rFonts w:ascii="Calibri" w:hAnsi="Calibri" w:cs="Calibri"/>
          <w:spacing w:val="2"/>
          <w:sz w:val="22"/>
          <w:szCs w:val="22"/>
          <w:shd w:val="clear" w:color="auto" w:fill="FFFFFF"/>
          <w:lang w:val="hu-HU"/>
        </w:rPr>
      </w:pPr>
      <w:r w:rsidRPr="0088668E">
        <w:rPr>
          <w:rFonts w:ascii="Calibri" w:hAnsi="Calibri" w:cs="Calibri"/>
          <w:spacing w:val="2"/>
          <w:sz w:val="22"/>
          <w:szCs w:val="22"/>
          <w:shd w:val="clear" w:color="auto" w:fill="FFFFFF"/>
          <w:lang w:val="hu-HU"/>
        </w:rPr>
        <w:t xml:space="preserve">[2] Kimani NM, Matasyoh JC, Kaiser M, Nogueira MS, Trossini GHG, Schmidt TJ. </w:t>
      </w:r>
      <w:r>
        <w:rPr>
          <w:rFonts w:ascii="Calibri" w:hAnsi="Calibri" w:cs="Calibri"/>
          <w:spacing w:val="2"/>
          <w:sz w:val="22"/>
          <w:szCs w:val="22"/>
          <w:shd w:val="clear" w:color="auto" w:fill="FFFFFF"/>
          <w:lang w:val="hu-HU"/>
        </w:rPr>
        <w:t xml:space="preserve"> C</w:t>
      </w:r>
      <w:r w:rsidRPr="0088668E">
        <w:rPr>
          <w:rFonts w:ascii="Calibri" w:hAnsi="Calibri" w:cs="Calibri"/>
          <w:spacing w:val="2"/>
          <w:sz w:val="22"/>
          <w:szCs w:val="22"/>
          <w:shd w:val="clear" w:color="auto" w:fill="FFFFFF"/>
          <w:lang w:val="hu-HU"/>
        </w:rPr>
        <w:t>omplementary quantitative structure-activity relationship models for the antitrypanosomal activity of sesquiterpene lactones. Int</w:t>
      </w:r>
      <w:r>
        <w:rPr>
          <w:rFonts w:ascii="Calibri" w:hAnsi="Calibri" w:cs="Calibri"/>
          <w:spacing w:val="2"/>
          <w:sz w:val="22"/>
          <w:szCs w:val="22"/>
          <w:shd w:val="clear" w:color="auto" w:fill="FFFFFF"/>
          <w:lang w:val="hu-HU"/>
        </w:rPr>
        <w:t xml:space="preserve">. </w:t>
      </w:r>
      <w:r w:rsidRPr="0088668E">
        <w:rPr>
          <w:rFonts w:ascii="Calibri" w:hAnsi="Calibri" w:cs="Calibri"/>
          <w:spacing w:val="2"/>
          <w:sz w:val="22"/>
          <w:szCs w:val="22"/>
          <w:shd w:val="clear" w:color="auto" w:fill="FFFFFF"/>
          <w:lang w:val="hu-HU"/>
        </w:rPr>
        <w:t>J</w:t>
      </w:r>
      <w:r>
        <w:rPr>
          <w:rFonts w:ascii="Calibri" w:hAnsi="Calibri" w:cs="Calibri"/>
          <w:spacing w:val="2"/>
          <w:sz w:val="22"/>
          <w:szCs w:val="22"/>
          <w:shd w:val="clear" w:color="auto" w:fill="FFFFFF"/>
          <w:lang w:val="hu-HU"/>
        </w:rPr>
        <w:t xml:space="preserve">. </w:t>
      </w:r>
      <w:r w:rsidRPr="0088668E">
        <w:rPr>
          <w:rFonts w:ascii="Calibri" w:hAnsi="Calibri" w:cs="Calibri"/>
          <w:spacing w:val="2"/>
          <w:sz w:val="22"/>
          <w:szCs w:val="22"/>
          <w:shd w:val="clear" w:color="auto" w:fill="FFFFFF"/>
          <w:lang w:val="hu-HU"/>
        </w:rPr>
        <w:t>Mol</w:t>
      </w:r>
      <w:r>
        <w:rPr>
          <w:rFonts w:ascii="Calibri" w:hAnsi="Calibri" w:cs="Calibri"/>
          <w:spacing w:val="2"/>
          <w:sz w:val="22"/>
          <w:szCs w:val="22"/>
          <w:shd w:val="clear" w:color="auto" w:fill="FFFFFF"/>
          <w:lang w:val="hu-HU"/>
        </w:rPr>
        <w:t xml:space="preserve">. </w:t>
      </w:r>
      <w:r w:rsidRPr="0088668E">
        <w:rPr>
          <w:rFonts w:ascii="Calibri" w:hAnsi="Calibri" w:cs="Calibri"/>
          <w:spacing w:val="2"/>
          <w:sz w:val="22"/>
          <w:szCs w:val="22"/>
          <w:shd w:val="clear" w:color="auto" w:fill="FFFFFF"/>
          <w:lang w:val="hu-HU"/>
        </w:rPr>
        <w:t>Sci</w:t>
      </w:r>
      <w:r>
        <w:rPr>
          <w:rFonts w:ascii="Calibri" w:hAnsi="Calibri" w:cs="Calibri"/>
          <w:spacing w:val="2"/>
          <w:sz w:val="22"/>
          <w:szCs w:val="22"/>
          <w:shd w:val="clear" w:color="auto" w:fill="FFFFFF"/>
          <w:lang w:val="hu-HU"/>
        </w:rPr>
        <w:t xml:space="preserve">. </w:t>
      </w:r>
      <w:r w:rsidRPr="0088668E">
        <w:rPr>
          <w:rFonts w:ascii="Calibri" w:hAnsi="Calibri" w:cs="Calibri"/>
          <w:spacing w:val="2"/>
          <w:sz w:val="22"/>
          <w:szCs w:val="22"/>
          <w:shd w:val="clear" w:color="auto" w:fill="FFFFFF"/>
          <w:lang w:val="hu-HU"/>
        </w:rPr>
        <w:t>2018, 19, 3721.</w:t>
      </w:r>
      <w:r>
        <w:rPr>
          <w:rFonts w:ascii="Calibri" w:hAnsi="Calibri" w:cs="Calibri"/>
          <w:spacing w:val="2"/>
          <w:sz w:val="22"/>
          <w:szCs w:val="22"/>
          <w:shd w:val="clear" w:color="auto" w:fill="FFFFFF"/>
          <w:lang w:val="hu-HU"/>
        </w:rPr>
        <w:t xml:space="preserve"> </w:t>
      </w:r>
      <w:r w:rsidRPr="0088668E">
        <w:rPr>
          <w:rFonts w:ascii="Calibri" w:hAnsi="Calibri" w:cs="Calibri"/>
          <w:spacing w:val="2"/>
          <w:sz w:val="22"/>
          <w:szCs w:val="22"/>
          <w:shd w:val="clear" w:color="auto" w:fill="FFFFFF"/>
          <w:lang w:val="hu-HU"/>
        </w:rPr>
        <w:t>DOI:10.3390/ijms19123721</w:t>
      </w:r>
    </w:p>
    <w:p w14:paraId="253C09AC" w14:textId="77777777" w:rsidR="001C2B5E" w:rsidRPr="0088668E" w:rsidRDefault="001C2B5E" w:rsidP="001C2B5E">
      <w:pPr>
        <w:jc w:val="both"/>
        <w:rPr>
          <w:rFonts w:ascii="Calibri" w:hAnsi="Calibri" w:cs="Calibri"/>
          <w:spacing w:val="2"/>
          <w:sz w:val="22"/>
          <w:szCs w:val="22"/>
          <w:shd w:val="clear" w:color="auto" w:fill="FFFFFF"/>
          <w:lang w:val="hu-HU"/>
        </w:rPr>
      </w:pPr>
      <w:r>
        <w:rPr>
          <w:rFonts w:ascii="Calibri" w:hAnsi="Calibri" w:cs="Calibri"/>
          <w:spacing w:val="2"/>
          <w:sz w:val="22"/>
          <w:szCs w:val="22"/>
          <w:shd w:val="clear" w:color="auto" w:fill="FFFFFF"/>
          <w:lang w:val="hu-HU"/>
        </w:rPr>
        <w:t xml:space="preserve">[3] </w:t>
      </w:r>
      <w:r w:rsidRPr="0088668E">
        <w:rPr>
          <w:rFonts w:ascii="Calibri" w:hAnsi="Calibri" w:cs="Calibri"/>
          <w:spacing w:val="2"/>
          <w:sz w:val="22"/>
          <w:szCs w:val="22"/>
          <w:shd w:val="clear" w:color="auto" w:fill="FFFFFF"/>
          <w:lang w:val="hu-HU"/>
        </w:rPr>
        <w:t>Robledo SM, Murillo J, Arbeláez N, Montoya A, Ospina V, Jürgens FM, Vélez ID, Schmidt TJ. Therapeutic efficacy of Arnica in hamsters with cutaneous leishmaniasis caused by Leishmania braziliensis and L. tropica. Pharmaceuticals 2022, 15, 776; DOI: 10.3390/ph15070776</w:t>
      </w:r>
    </w:p>
    <w:p w14:paraId="0B4BCBB4" w14:textId="77777777" w:rsidR="001C2B5E" w:rsidRDefault="001C2B5E" w:rsidP="001C2B5E">
      <w:pPr>
        <w:jc w:val="both"/>
        <w:rPr>
          <w:rFonts w:ascii="Calibri" w:hAnsi="Calibri" w:cs="Calibri"/>
          <w:spacing w:val="2"/>
          <w:sz w:val="22"/>
          <w:szCs w:val="22"/>
          <w:shd w:val="clear" w:color="auto" w:fill="FFFFFF"/>
          <w:lang w:val="hu-HU"/>
        </w:rPr>
      </w:pPr>
      <w:r w:rsidRPr="0088668E">
        <w:rPr>
          <w:rFonts w:ascii="Calibri" w:hAnsi="Calibri" w:cs="Calibri"/>
          <w:spacing w:val="2"/>
          <w:sz w:val="22"/>
          <w:szCs w:val="22"/>
          <w:shd w:val="clear" w:color="auto" w:fill="FFFFFF"/>
          <w:lang w:val="hu-HU"/>
        </w:rPr>
        <w:t xml:space="preserve">[4] </w:t>
      </w:r>
      <w:r w:rsidRPr="00320100">
        <w:rPr>
          <w:rFonts w:ascii="Calibri" w:hAnsi="Calibri" w:cs="Calibri"/>
          <w:spacing w:val="2"/>
          <w:sz w:val="22"/>
          <w:szCs w:val="22"/>
          <w:shd w:val="clear" w:color="auto" w:fill="FFFFFF"/>
          <w:lang w:val="hu-HU"/>
        </w:rPr>
        <w:t>Robledo SM, Quintero J, Garcés AC, Rios S, Soto E, Tabares Y, López L, Vélez ID, Schmidt T</w:t>
      </w:r>
      <w:r>
        <w:rPr>
          <w:rFonts w:ascii="Calibri" w:hAnsi="Calibri" w:cs="Calibri"/>
          <w:spacing w:val="2"/>
          <w:sz w:val="22"/>
          <w:szCs w:val="22"/>
          <w:shd w:val="clear" w:color="auto" w:fill="FFFFFF"/>
          <w:lang w:val="hu-HU"/>
        </w:rPr>
        <w:t xml:space="preserve">J. </w:t>
      </w:r>
      <w:r w:rsidRPr="00320100">
        <w:rPr>
          <w:rFonts w:ascii="Calibri" w:hAnsi="Calibri" w:cs="Calibri"/>
          <w:spacing w:val="2"/>
          <w:sz w:val="22"/>
          <w:szCs w:val="22"/>
          <w:shd w:val="clear" w:color="auto" w:fill="FFFFFF"/>
          <w:lang w:val="hu-HU"/>
        </w:rPr>
        <w:t xml:space="preserve">A phase Ib/II </w:t>
      </w:r>
      <w:r>
        <w:rPr>
          <w:rFonts w:ascii="Calibri" w:hAnsi="Calibri" w:cs="Calibri"/>
          <w:spacing w:val="2"/>
          <w:sz w:val="22"/>
          <w:szCs w:val="22"/>
          <w:shd w:val="clear" w:color="auto" w:fill="FFFFFF"/>
          <w:lang w:val="hu-HU"/>
        </w:rPr>
        <w:t xml:space="preserve">clinical </w:t>
      </w:r>
      <w:r w:rsidRPr="00320100">
        <w:rPr>
          <w:rFonts w:ascii="Calibri" w:hAnsi="Calibri" w:cs="Calibri"/>
          <w:spacing w:val="2"/>
          <w:sz w:val="22"/>
          <w:szCs w:val="22"/>
          <w:shd w:val="clear" w:color="auto" w:fill="FFFFFF"/>
          <w:lang w:val="hu-HU"/>
        </w:rPr>
        <w:t>study to evaluate the safety and efficacy of topical Arnica tincture to treat non-complicated Cutaneous Leishmaniasis in Colombia</w:t>
      </w:r>
      <w:r>
        <w:rPr>
          <w:rFonts w:ascii="Calibri" w:hAnsi="Calibri" w:cs="Calibri"/>
          <w:spacing w:val="2"/>
          <w:sz w:val="22"/>
          <w:szCs w:val="22"/>
          <w:shd w:val="clear" w:color="auto" w:fill="FFFFFF"/>
          <w:lang w:val="hu-HU"/>
        </w:rPr>
        <w:t>. In preparation.</w:t>
      </w:r>
    </w:p>
    <w:p w14:paraId="75D25F0D" w14:textId="77777777" w:rsidR="001C2B5E" w:rsidRPr="0088668E" w:rsidRDefault="001C2B5E" w:rsidP="001C2B5E">
      <w:pPr>
        <w:rPr>
          <w:rFonts w:ascii="Calibri" w:hAnsi="Calibri" w:cs="Calibri"/>
          <w:spacing w:val="2"/>
          <w:sz w:val="22"/>
          <w:szCs w:val="22"/>
          <w:shd w:val="clear" w:color="auto" w:fill="FFFFFF"/>
          <w:lang w:val="hu-HU"/>
        </w:rPr>
      </w:pPr>
    </w:p>
    <w:p w14:paraId="22956B70" w14:textId="77777777" w:rsidR="001C2B5E" w:rsidRPr="0088668E" w:rsidRDefault="001C2B5E" w:rsidP="001C2B5E">
      <w:pPr>
        <w:rPr>
          <w:rFonts w:ascii="Calibri" w:hAnsi="Calibri" w:cs="Calibri"/>
          <w:b/>
          <w:bCs/>
          <w:spacing w:val="2"/>
          <w:sz w:val="22"/>
          <w:szCs w:val="22"/>
          <w:shd w:val="clear" w:color="auto" w:fill="FFFFFF"/>
          <w:lang w:val="hu-HU"/>
        </w:rPr>
      </w:pPr>
      <w:r w:rsidRPr="0088668E">
        <w:rPr>
          <w:rFonts w:ascii="Calibri" w:hAnsi="Calibri" w:cs="Calibri"/>
          <w:b/>
          <w:bCs/>
          <w:spacing w:val="2"/>
          <w:sz w:val="22"/>
          <w:szCs w:val="22"/>
          <w:shd w:val="clear" w:color="auto" w:fill="FFFFFF"/>
          <w:lang w:val="hu-HU"/>
        </w:rPr>
        <w:t>Acknowledgment</w:t>
      </w:r>
    </w:p>
    <w:p w14:paraId="594768F3" w14:textId="77777777" w:rsidR="001C2B5E" w:rsidRDefault="001C2B5E" w:rsidP="001C2B5E">
      <w:pPr>
        <w:jc w:val="both"/>
        <w:rPr>
          <w:rFonts w:ascii="Calibri" w:hAnsi="Calibri" w:cs="Calibri"/>
          <w:sz w:val="22"/>
          <w:szCs w:val="22"/>
        </w:rPr>
      </w:pPr>
      <w:r>
        <w:rPr>
          <w:rFonts w:ascii="Calibri" w:hAnsi="Calibri" w:cs="Calibri"/>
          <w:spacing w:val="2"/>
          <w:sz w:val="22"/>
          <w:szCs w:val="22"/>
          <w:shd w:val="clear" w:color="auto" w:fill="FFFFFF"/>
        </w:rPr>
        <w:t xml:space="preserve">The author acknowledges the many collaboration partners in the Research Network Natural Products against Neglected Diseases (ResNet NPND, see </w:t>
      </w:r>
      <w:hyperlink r:id="rId9" w:history="1">
        <w:r w:rsidRPr="003A0AE9">
          <w:rPr>
            <w:rStyle w:val="Hyperlink"/>
            <w:rFonts w:ascii="Calibri" w:hAnsi="Calibri" w:cs="Calibri"/>
            <w:spacing w:val="2"/>
            <w:sz w:val="22"/>
            <w:szCs w:val="22"/>
            <w:shd w:val="clear" w:color="auto" w:fill="FFFFFF"/>
          </w:rPr>
          <w:t>www.resnetnpnd.org</w:t>
        </w:r>
      </w:hyperlink>
      <w:r>
        <w:rPr>
          <w:rFonts w:ascii="Calibri" w:hAnsi="Calibri" w:cs="Calibri"/>
          <w:spacing w:val="2"/>
          <w:sz w:val="22"/>
          <w:szCs w:val="22"/>
          <w:shd w:val="clear" w:color="auto" w:fill="FFFFFF"/>
        </w:rPr>
        <w:t>)</w:t>
      </w:r>
      <w:r>
        <w:rPr>
          <w:rFonts w:ascii="Calibri" w:hAnsi="Calibri" w:cs="Calibri"/>
          <w:sz w:val="22"/>
          <w:szCs w:val="22"/>
        </w:rPr>
        <w:t xml:space="preserve">. Particular thanks go to Swiss TPH, Allschwil, Switzerland, for the intense and fruitful cooperation over more </w:t>
      </w:r>
      <w:r>
        <w:rPr>
          <w:rFonts w:ascii="Calibri" w:hAnsi="Calibri" w:cs="Calibri"/>
          <w:sz w:val="22"/>
          <w:szCs w:val="22"/>
        </w:rPr>
        <w:lastRenderedPageBreak/>
        <w:t>than two decades and to Sara M. Robledo, Univ. of Antioquia, Medellin, Colombia, for the excellent collaboration with very successful in vivo and clinical work on Arnica. Many thanks to countless doctoral and master students who dedicated their work to the various projects. Thanks are due to various sponsors, particularly the Apothekerstiftung Westfalen-Lippe and Wilhelm-Doerenkamp-Foundation, for financial support.</w:t>
      </w:r>
    </w:p>
    <w:p w14:paraId="23921423" w14:textId="77777777" w:rsidR="001C2B5E" w:rsidRDefault="001C2B5E" w:rsidP="001C2B5E">
      <w:pPr>
        <w:rPr>
          <w:rFonts w:ascii="Calibri" w:hAnsi="Calibri" w:cs="Calibri"/>
          <w:sz w:val="22"/>
          <w:szCs w:val="22"/>
        </w:rPr>
      </w:pPr>
    </w:p>
    <w:p w14:paraId="04F2558E" w14:textId="0B790847" w:rsidR="001C2B5E" w:rsidRDefault="001C2B5E">
      <w:pPr>
        <w:rPr>
          <w:rFonts w:ascii="Calibri" w:hAnsi="Calibri" w:cs="Calibri"/>
          <w:b/>
          <w:color w:val="006699"/>
          <w:highlight w:val="yellow"/>
          <w:lang w:val="en-GB"/>
        </w:rPr>
      </w:pPr>
      <w:r>
        <w:rPr>
          <w:rFonts w:ascii="Calibri" w:hAnsi="Calibri" w:cs="Calibri"/>
          <w:b/>
          <w:color w:val="006699"/>
          <w:highlight w:val="yellow"/>
          <w:lang w:val="en-GB"/>
        </w:rPr>
        <w:br w:type="page"/>
      </w:r>
    </w:p>
    <w:p w14:paraId="241A206E" w14:textId="77777777" w:rsidR="001F57A6" w:rsidRDefault="001F57A6" w:rsidP="001C2B5E">
      <w:pPr>
        <w:pStyle w:val="NormalWeb"/>
        <w:rPr>
          <w:b/>
          <w:color w:val="222222"/>
          <w:shd w:val="clear" w:color="auto" w:fill="FFFFFF"/>
        </w:rPr>
      </w:pPr>
    </w:p>
    <w:p w14:paraId="5049C12A" w14:textId="4DE9F99F" w:rsidR="001F57A6" w:rsidRPr="00303D72" w:rsidRDefault="001F57A6" w:rsidP="001F57A6">
      <w:pPr>
        <w:pStyle w:val="NormalWeb"/>
        <w:jc w:val="center"/>
        <w:rPr>
          <w:rFonts w:ascii="Calibri" w:hAnsi="Calibri" w:cs="Calibri"/>
          <w:b/>
          <w:color w:val="006699"/>
          <w:lang w:val="en-GB"/>
        </w:rPr>
      </w:pPr>
      <w:r w:rsidRPr="00303D72">
        <w:rPr>
          <w:rFonts w:ascii="Calibri" w:hAnsi="Calibri" w:cs="Calibri"/>
          <w:b/>
          <w:color w:val="006699"/>
          <w:lang w:val="en-GB"/>
        </w:rPr>
        <w:t>Novel scaffolds from African medicinal plants for antiparasitic drug discovery</w:t>
      </w:r>
    </w:p>
    <w:p w14:paraId="38845A26" w14:textId="77777777" w:rsidR="001F57A6" w:rsidRPr="00303D72" w:rsidRDefault="001F57A6" w:rsidP="001F57A6">
      <w:pPr>
        <w:pStyle w:val="NormalWeb"/>
        <w:jc w:val="center"/>
        <w:rPr>
          <w:rFonts w:ascii="Calibri" w:hAnsi="Calibri" w:cs="Calibri"/>
          <w:color w:val="000000" w:themeColor="text1"/>
          <w:lang w:val="en-GB"/>
        </w:rPr>
      </w:pPr>
      <w:r w:rsidRPr="00303D72">
        <w:rPr>
          <w:rFonts w:ascii="Calibri" w:hAnsi="Calibri" w:cs="Calibri"/>
          <w:color w:val="000000" w:themeColor="text1"/>
          <w:u w:val="single"/>
          <w:lang w:val="en-GB"/>
        </w:rPr>
        <w:t>John Igoli</w:t>
      </w:r>
      <w:r w:rsidRPr="00303D72">
        <w:rPr>
          <w:rFonts w:ascii="Calibri" w:hAnsi="Calibri" w:cs="Calibri"/>
          <w:color w:val="000000" w:themeColor="text1"/>
          <w:lang w:val="en-GB"/>
        </w:rPr>
        <w:t xml:space="preserve"> and Nahandoo Ichoron</w:t>
      </w:r>
    </w:p>
    <w:p w14:paraId="560D809C" w14:textId="77777777" w:rsidR="00303D72" w:rsidRPr="00E45C3D" w:rsidRDefault="001F57A6" w:rsidP="00303D72">
      <w:pPr>
        <w:pStyle w:val="NormalWeb"/>
        <w:jc w:val="center"/>
        <w:rPr>
          <w:rFonts w:asciiTheme="minorHAnsi" w:hAnsiTheme="minorHAnsi" w:cstheme="minorHAnsi"/>
          <w:bCs/>
          <w:color w:val="222222"/>
          <w:sz w:val="22"/>
          <w:szCs w:val="22"/>
          <w:shd w:val="clear" w:color="auto" w:fill="FFFFFF"/>
        </w:rPr>
      </w:pPr>
      <w:r w:rsidRPr="00E45C3D">
        <w:rPr>
          <w:rFonts w:asciiTheme="minorHAnsi" w:hAnsiTheme="minorHAnsi" w:cstheme="minorHAnsi"/>
          <w:bCs/>
          <w:color w:val="222222"/>
          <w:sz w:val="22"/>
          <w:szCs w:val="22"/>
          <w:shd w:val="clear" w:color="auto" w:fill="FFFFFF"/>
        </w:rPr>
        <w:t>Department of Chemistry</w:t>
      </w:r>
      <w:r w:rsidR="00303D72" w:rsidRPr="00E45C3D">
        <w:rPr>
          <w:rFonts w:asciiTheme="minorHAnsi" w:hAnsiTheme="minorHAnsi" w:cstheme="minorHAnsi"/>
          <w:bCs/>
          <w:color w:val="222222"/>
          <w:sz w:val="22"/>
          <w:szCs w:val="22"/>
          <w:shd w:val="clear" w:color="auto" w:fill="FFFFFF"/>
        </w:rPr>
        <w:t xml:space="preserve">, </w:t>
      </w:r>
      <w:r w:rsidRPr="00E45C3D">
        <w:rPr>
          <w:rFonts w:asciiTheme="minorHAnsi" w:hAnsiTheme="minorHAnsi" w:cstheme="minorHAnsi"/>
          <w:bCs/>
          <w:color w:val="222222"/>
          <w:sz w:val="22"/>
          <w:szCs w:val="22"/>
          <w:shd w:val="clear" w:color="auto" w:fill="FFFFFF"/>
        </w:rPr>
        <w:t>Joseph Sarwuan Tarka University</w:t>
      </w:r>
      <w:r w:rsidR="00303D72" w:rsidRPr="00E45C3D">
        <w:rPr>
          <w:rFonts w:asciiTheme="minorHAnsi" w:hAnsiTheme="minorHAnsi" w:cstheme="minorHAnsi"/>
          <w:bCs/>
          <w:color w:val="222222"/>
          <w:sz w:val="22"/>
          <w:szCs w:val="22"/>
          <w:shd w:val="clear" w:color="auto" w:fill="FFFFFF"/>
        </w:rPr>
        <w:t xml:space="preserve">, </w:t>
      </w:r>
    </w:p>
    <w:p w14:paraId="723461A1" w14:textId="47AD03DB" w:rsidR="001F57A6" w:rsidRPr="00E45C3D" w:rsidRDefault="001F57A6" w:rsidP="00303D72">
      <w:pPr>
        <w:pStyle w:val="NormalWeb"/>
        <w:jc w:val="center"/>
        <w:rPr>
          <w:rFonts w:asciiTheme="minorHAnsi" w:hAnsiTheme="minorHAnsi" w:cstheme="minorHAnsi"/>
          <w:bCs/>
          <w:color w:val="222222"/>
          <w:sz w:val="22"/>
          <w:szCs w:val="22"/>
          <w:shd w:val="clear" w:color="auto" w:fill="FFFFFF"/>
        </w:rPr>
      </w:pPr>
      <w:r w:rsidRPr="00E45C3D">
        <w:rPr>
          <w:rFonts w:asciiTheme="minorHAnsi" w:hAnsiTheme="minorHAnsi" w:cstheme="minorHAnsi"/>
          <w:bCs/>
          <w:color w:val="222222"/>
          <w:sz w:val="22"/>
          <w:szCs w:val="22"/>
          <w:shd w:val="clear" w:color="auto" w:fill="FFFFFF"/>
        </w:rPr>
        <w:t>PMB 2373 Makurdi</w:t>
      </w:r>
      <w:r w:rsidR="00303D72" w:rsidRPr="00E45C3D">
        <w:rPr>
          <w:rFonts w:asciiTheme="minorHAnsi" w:hAnsiTheme="minorHAnsi" w:cstheme="minorHAnsi"/>
          <w:bCs/>
          <w:color w:val="222222"/>
          <w:sz w:val="22"/>
          <w:szCs w:val="22"/>
          <w:shd w:val="clear" w:color="auto" w:fill="FFFFFF"/>
        </w:rPr>
        <w:t xml:space="preserve">, </w:t>
      </w:r>
      <w:r w:rsidRPr="00E45C3D">
        <w:rPr>
          <w:rFonts w:asciiTheme="minorHAnsi" w:hAnsiTheme="minorHAnsi" w:cstheme="minorHAnsi"/>
          <w:bCs/>
          <w:color w:val="222222"/>
          <w:sz w:val="22"/>
          <w:szCs w:val="22"/>
          <w:shd w:val="clear" w:color="auto" w:fill="FFFFFF"/>
        </w:rPr>
        <w:t>Nigeria</w:t>
      </w:r>
    </w:p>
    <w:p w14:paraId="5E9246FC" w14:textId="77777777" w:rsidR="001F57A6" w:rsidRPr="00303D72" w:rsidRDefault="001F57A6" w:rsidP="001F57A6">
      <w:pPr>
        <w:pStyle w:val="NormalWeb"/>
        <w:jc w:val="both"/>
        <w:rPr>
          <w:rFonts w:asciiTheme="minorHAnsi" w:hAnsiTheme="minorHAnsi" w:cstheme="minorHAnsi"/>
        </w:rPr>
      </w:pPr>
      <w:r w:rsidRPr="00303D72">
        <w:rPr>
          <w:rFonts w:asciiTheme="minorHAnsi" w:hAnsiTheme="minorHAnsi" w:cstheme="minorHAnsi"/>
        </w:rPr>
        <w:t>Parasitic diseases have continued to be a significant global health burden, especially in Africa. As the search for effective drugs redirects towards natural products as a source of inspiration, African medicinal plants present a unique reservoir of novel scaffolds with antiparasitic potential due to their rich biodiversity. Integrating ethnobotanical knowledge, advanced analytical techniques, and computational modeling has helped to identify and evaluate promising natural scaffolds for drug development. It is essential to secure funding, encourage cross-disciplinary collaboration, and address challenges such as limited access to natural product resources, regulatory hurdles, and gaps in knowledge. Leveraging ethnobotanical insights, and integrating semi-synthetic approaches, and AI technologies can enhance the discovery process. Although natural product drug discovery presents challenges for the pharmaceutical industry and investors, its growing recognition as a cornerstone of healthcare underscores its importance. Africa's rich medicinal plant resources present an opportunity to explore new plants and sources, reposition natural products, and significantly contribute to developing novel treatments for diseases that continue to impact the continent.</w:t>
      </w:r>
    </w:p>
    <w:p w14:paraId="2CBA2829" w14:textId="77777777" w:rsidR="001F57A6" w:rsidRPr="00303D72" w:rsidRDefault="001F57A6" w:rsidP="001F57A6">
      <w:pPr>
        <w:rPr>
          <w:rFonts w:asciiTheme="minorHAnsi" w:hAnsiTheme="minorHAnsi" w:cstheme="minorHAnsi"/>
        </w:rPr>
      </w:pPr>
    </w:p>
    <w:p w14:paraId="0E590F21" w14:textId="23F2935D" w:rsidR="001F57A6" w:rsidRPr="00303D72" w:rsidRDefault="001F57A6">
      <w:pPr>
        <w:rPr>
          <w:rFonts w:asciiTheme="minorHAnsi" w:hAnsiTheme="minorHAnsi" w:cstheme="minorHAnsi"/>
          <w:b/>
          <w:color w:val="006699"/>
          <w:highlight w:val="yellow"/>
          <w:lang w:val="en-GB"/>
        </w:rPr>
      </w:pPr>
    </w:p>
    <w:p w14:paraId="2C0C217D" w14:textId="77777777" w:rsidR="001F57A6" w:rsidRPr="00303D72" w:rsidRDefault="001F57A6">
      <w:pPr>
        <w:rPr>
          <w:rFonts w:asciiTheme="minorHAnsi" w:hAnsiTheme="minorHAnsi" w:cstheme="minorHAnsi"/>
          <w:b/>
          <w:color w:val="006699"/>
          <w:highlight w:val="yellow"/>
          <w:lang w:val="en-GB"/>
        </w:rPr>
      </w:pPr>
    </w:p>
    <w:p w14:paraId="6C62C37D" w14:textId="77777777" w:rsidR="0018503B" w:rsidRDefault="0018503B" w:rsidP="00880A4F">
      <w:pPr>
        <w:spacing w:line="360" w:lineRule="auto"/>
        <w:rPr>
          <w:rFonts w:ascii="Calibri" w:hAnsi="Calibri" w:cs="Calibri"/>
          <w:b/>
          <w:color w:val="006699"/>
          <w:highlight w:val="yellow"/>
          <w:lang w:val="en-GB"/>
        </w:rPr>
      </w:pPr>
    </w:p>
    <w:p w14:paraId="7F892520" w14:textId="37FFA430" w:rsidR="001C2B5E" w:rsidRDefault="001C2B5E">
      <w:pPr>
        <w:rPr>
          <w:rFonts w:ascii="Calibri" w:hAnsi="Calibri" w:cs="Calibri"/>
          <w:b/>
          <w:color w:val="006699"/>
          <w:lang w:val="en-GB"/>
        </w:rPr>
      </w:pPr>
      <w:r>
        <w:rPr>
          <w:rFonts w:ascii="Calibri" w:hAnsi="Calibri" w:cs="Calibri"/>
          <w:b/>
          <w:color w:val="006699"/>
          <w:lang w:val="en-GB"/>
        </w:rPr>
        <w:br w:type="page"/>
      </w:r>
    </w:p>
    <w:p w14:paraId="0310D673" w14:textId="77777777" w:rsidR="001C2B5E" w:rsidRDefault="001C2B5E">
      <w:pPr>
        <w:rPr>
          <w:rFonts w:ascii="Calibri" w:hAnsi="Calibri" w:cs="Calibri"/>
          <w:b/>
          <w:color w:val="006699"/>
          <w:lang w:val="en-GB"/>
        </w:rPr>
      </w:pPr>
    </w:p>
    <w:p w14:paraId="38311A33" w14:textId="77777777" w:rsidR="00A42C96" w:rsidRPr="00A42C96" w:rsidRDefault="00A42C96" w:rsidP="00A42C96">
      <w:pPr>
        <w:jc w:val="center"/>
        <w:rPr>
          <w:rFonts w:ascii="Calibri" w:hAnsi="Calibri" w:cs="Calibri"/>
          <w:b/>
          <w:color w:val="006699"/>
          <w:lang w:val="en-GB"/>
        </w:rPr>
      </w:pPr>
      <w:r w:rsidRPr="00A42C96">
        <w:rPr>
          <w:rFonts w:ascii="Calibri" w:hAnsi="Calibri" w:cs="Calibri"/>
          <w:b/>
          <w:color w:val="006699"/>
          <w:lang w:val="en-GB"/>
        </w:rPr>
        <w:t>Investigation of bipyrazole derivatives</w:t>
      </w:r>
    </w:p>
    <w:p w14:paraId="4E07F0D4" w14:textId="77777777" w:rsidR="00A42C96" w:rsidRDefault="00A42C96" w:rsidP="001C2B5E">
      <w:pPr>
        <w:spacing w:line="264" w:lineRule="auto"/>
        <w:jc w:val="both"/>
        <w:rPr>
          <w:rFonts w:ascii="Calibri" w:hAnsi="Calibri" w:cs="Calibri"/>
          <w:b/>
          <w:bCs/>
          <w:color w:val="000000" w:themeColor="text1"/>
          <w:lang w:val="en-GB"/>
        </w:rPr>
      </w:pPr>
    </w:p>
    <w:p w14:paraId="3E802574" w14:textId="1C4E12DD" w:rsidR="00A42C96" w:rsidRPr="001B038A" w:rsidRDefault="001C2B5E" w:rsidP="00A42C96">
      <w:pPr>
        <w:spacing w:line="264" w:lineRule="auto"/>
        <w:jc w:val="center"/>
        <w:rPr>
          <w:rFonts w:ascii="Calibri" w:hAnsi="Calibri" w:cs="Calibri"/>
          <w:bCs/>
          <w:color w:val="000000" w:themeColor="text1"/>
          <w:u w:val="single"/>
          <w:lang w:val="pt-PT"/>
        </w:rPr>
      </w:pPr>
      <w:r w:rsidRPr="001B038A">
        <w:rPr>
          <w:rFonts w:ascii="Calibri" w:hAnsi="Calibri" w:cs="Calibri"/>
          <w:bCs/>
          <w:color w:val="000000" w:themeColor="text1"/>
          <w:u w:val="single"/>
          <w:lang w:val="pt-PT"/>
        </w:rPr>
        <w:t xml:space="preserve">Ineta Meldaikytė </w:t>
      </w:r>
      <w:r w:rsidR="001B038A" w:rsidRPr="001B038A">
        <w:rPr>
          <w:rFonts w:ascii="Calibri" w:hAnsi="Calibri" w:cs="Calibri"/>
          <w:bCs/>
          <w:color w:val="000000" w:themeColor="text1"/>
          <w:u w:val="single"/>
          <w:lang w:val="pt-PT"/>
        </w:rPr>
        <w:t xml:space="preserve">, </w:t>
      </w:r>
      <w:r w:rsidR="001B038A" w:rsidRPr="001B038A">
        <w:rPr>
          <w:rFonts w:ascii="Calibri" w:hAnsi="Calibri" w:cs="Calibri"/>
          <w:bCs/>
          <w:color w:val="000000" w:themeColor="text1"/>
          <w:lang w:val="pt-PT"/>
        </w:rPr>
        <w:t>Paulius Ruzgys , Vilija Kederienė</w:t>
      </w:r>
    </w:p>
    <w:p w14:paraId="1AFAFA39" w14:textId="4FF9D57E" w:rsidR="001C2B5E" w:rsidRPr="00E45C3D" w:rsidRDefault="001C2B5E" w:rsidP="00A42C96">
      <w:pPr>
        <w:spacing w:line="264" w:lineRule="auto"/>
        <w:jc w:val="center"/>
        <w:rPr>
          <w:rFonts w:ascii="Calibri" w:hAnsi="Calibri" w:cs="Calibri"/>
          <w:bCs/>
          <w:color w:val="000000" w:themeColor="text1"/>
          <w:sz w:val="22"/>
          <w:szCs w:val="22"/>
          <w:lang w:val="en-GB"/>
        </w:rPr>
      </w:pPr>
      <w:r w:rsidRPr="00E45C3D">
        <w:rPr>
          <w:rFonts w:ascii="Calibri" w:hAnsi="Calibri" w:cs="Calibri"/>
          <w:bCs/>
          <w:color w:val="000000" w:themeColor="text1"/>
          <w:sz w:val="22"/>
          <w:szCs w:val="22"/>
          <w:lang w:val="en-GB"/>
        </w:rPr>
        <w:t>Kaunas University of Technology, Lithuania.</w:t>
      </w:r>
    </w:p>
    <w:p w14:paraId="0FB821D3" w14:textId="77777777" w:rsidR="001B038A" w:rsidRPr="00E45C3D" w:rsidRDefault="001B038A" w:rsidP="001B038A">
      <w:pPr>
        <w:spacing w:line="264" w:lineRule="auto"/>
        <w:jc w:val="center"/>
        <w:rPr>
          <w:rFonts w:ascii="Calibri" w:hAnsi="Calibri" w:cs="Calibri"/>
          <w:bCs/>
          <w:color w:val="000000" w:themeColor="text1"/>
          <w:sz w:val="22"/>
          <w:szCs w:val="22"/>
          <w:lang w:val="en-GB"/>
        </w:rPr>
      </w:pPr>
      <w:r w:rsidRPr="00E45C3D">
        <w:rPr>
          <w:rFonts w:ascii="Calibri" w:hAnsi="Calibri" w:cs="Calibri"/>
          <w:bCs/>
          <w:color w:val="000000" w:themeColor="text1"/>
          <w:sz w:val="22"/>
          <w:szCs w:val="22"/>
          <w:lang w:val="en-GB"/>
        </w:rPr>
        <w:t>ineta.meldaikyte@ktu.edu</w:t>
      </w:r>
    </w:p>
    <w:p w14:paraId="25F6672F" w14:textId="77777777" w:rsidR="001B038A" w:rsidRPr="00E45C3D" w:rsidRDefault="001B038A" w:rsidP="001B038A">
      <w:pPr>
        <w:spacing w:line="264" w:lineRule="auto"/>
        <w:jc w:val="center"/>
        <w:rPr>
          <w:rFonts w:ascii="Calibri" w:hAnsi="Calibri" w:cs="Calibri"/>
          <w:bCs/>
          <w:color w:val="000000" w:themeColor="text1"/>
          <w:sz w:val="22"/>
          <w:szCs w:val="22"/>
          <w:lang w:val="en-GB"/>
        </w:rPr>
      </w:pPr>
    </w:p>
    <w:p w14:paraId="718DD1AF" w14:textId="28287A48" w:rsidR="001B038A" w:rsidRPr="001B038A" w:rsidRDefault="001B038A" w:rsidP="001B038A">
      <w:pPr>
        <w:spacing w:line="264" w:lineRule="auto"/>
        <w:jc w:val="both"/>
        <w:rPr>
          <w:rFonts w:ascii="Calibri" w:hAnsi="Calibri" w:cs="Calibri"/>
          <w:bCs/>
          <w:color w:val="000000" w:themeColor="text1"/>
          <w:lang w:val="en-GB"/>
        </w:rPr>
      </w:pPr>
      <w:r w:rsidRPr="001B038A">
        <w:rPr>
          <w:rFonts w:ascii="Calibri" w:hAnsi="Calibri" w:cs="Calibri"/>
          <w:bCs/>
          <w:color w:val="000000" w:themeColor="text1"/>
          <w:lang w:val="en-GB"/>
        </w:rPr>
        <w:t>Cancer is difficult to cure and one of the most common causes of demise [1]. Nowadays, there are several ways to treat cancer, but more effective ways to do it are being sought [2]. Different scientific articles have widely described pyrazole derivatives, and their biological activity has been investigated. However, there is an aim to find more and more new pyrazole derivatives with better activity [3]. Pyrazoles are appealing to scientists due to their diverse biological properties: antiviral, anti-inflammatory, anticancer, and other biological properties [4, 5].</w:t>
      </w:r>
    </w:p>
    <w:p w14:paraId="68B22055" w14:textId="77777777" w:rsidR="001B038A" w:rsidRPr="001B038A" w:rsidRDefault="001B038A" w:rsidP="001B038A">
      <w:pPr>
        <w:spacing w:line="264" w:lineRule="auto"/>
        <w:jc w:val="both"/>
        <w:rPr>
          <w:rFonts w:ascii="Calibri" w:hAnsi="Calibri" w:cs="Calibri"/>
          <w:bCs/>
          <w:color w:val="000000" w:themeColor="text1"/>
          <w:lang w:val="en-GB"/>
        </w:rPr>
      </w:pPr>
      <w:r w:rsidRPr="001B038A">
        <w:rPr>
          <w:rFonts w:ascii="Calibri" w:hAnsi="Calibri" w:cs="Calibri"/>
          <w:bCs/>
          <w:color w:val="000000" w:themeColor="text1"/>
          <w:lang w:val="en-GB"/>
        </w:rPr>
        <w:t>In the beginning, the original pyrazole derivative was converted to carbaldehyde according to the already known synthesis methodology, from which the hydrazone derivative was obtained. After synthesis conditions optimization, 3,4-bipyrazole was synthesized. Based on the diversity of biological properties of pyrazole and bipyrazole, it was decided to perform the functionalization of new bipyrazole compounds. For this, the very widely used palladiumcatalyzed Suzuki-Miyaura methodology was chosen for the functionalization of the pyrazole derivative. The resulting functionalized bipyrazole derivatives were investigated for their anticancer activity. Based on the obtained results, it can be stated that functionalized bipyrazole derivatives have good anticancer activity against different cancer cell lines.</w:t>
      </w:r>
    </w:p>
    <w:p w14:paraId="148F3D2A" w14:textId="77777777" w:rsidR="001B038A" w:rsidRPr="001B038A" w:rsidRDefault="001B038A" w:rsidP="001B038A">
      <w:pPr>
        <w:spacing w:line="264" w:lineRule="auto"/>
        <w:jc w:val="both"/>
        <w:rPr>
          <w:rFonts w:ascii="Calibri" w:hAnsi="Calibri" w:cs="Calibri"/>
          <w:bCs/>
          <w:color w:val="000000" w:themeColor="text1"/>
          <w:lang w:val="en-GB"/>
        </w:rPr>
      </w:pPr>
    </w:p>
    <w:p w14:paraId="2C9BEDF1" w14:textId="33E7E151" w:rsidR="001B038A" w:rsidRPr="00E45C3D" w:rsidRDefault="001B038A" w:rsidP="001B038A">
      <w:pPr>
        <w:spacing w:line="264" w:lineRule="auto"/>
        <w:jc w:val="both"/>
        <w:rPr>
          <w:rFonts w:ascii="Calibri" w:hAnsi="Calibri" w:cs="Calibri"/>
          <w:bCs/>
          <w:color w:val="000000" w:themeColor="text1"/>
          <w:sz w:val="22"/>
          <w:szCs w:val="22"/>
          <w:lang w:val="en-GB"/>
        </w:rPr>
      </w:pPr>
      <w:r w:rsidRPr="00E45C3D">
        <w:rPr>
          <w:rFonts w:ascii="Calibri" w:hAnsi="Calibri" w:cs="Calibri"/>
          <w:bCs/>
          <w:color w:val="000000" w:themeColor="text1"/>
          <w:sz w:val="22"/>
          <w:szCs w:val="22"/>
          <w:lang w:val="en-GB"/>
        </w:rPr>
        <w:t>References</w:t>
      </w:r>
    </w:p>
    <w:p w14:paraId="354C5CA7" w14:textId="61BBAD00" w:rsidR="001B038A" w:rsidRPr="00E45C3D" w:rsidRDefault="001B038A" w:rsidP="001B038A">
      <w:pPr>
        <w:spacing w:line="264" w:lineRule="auto"/>
        <w:jc w:val="both"/>
        <w:rPr>
          <w:rFonts w:ascii="Calibri" w:hAnsi="Calibri" w:cs="Calibri"/>
          <w:bCs/>
          <w:color w:val="000000" w:themeColor="text1"/>
          <w:sz w:val="22"/>
          <w:szCs w:val="22"/>
          <w:lang w:val="en-GB"/>
        </w:rPr>
      </w:pPr>
      <w:r w:rsidRPr="00E45C3D">
        <w:rPr>
          <w:rFonts w:ascii="Calibri" w:hAnsi="Calibri" w:cs="Calibri"/>
          <w:bCs/>
          <w:color w:val="000000" w:themeColor="text1"/>
          <w:sz w:val="22"/>
          <w:szCs w:val="22"/>
          <w:lang w:val="en-GB"/>
        </w:rPr>
        <w:t>[1] Rebucci, M., Michiels, C. (2013), Biochemical Pharmacology, 85, 1219-1226.</w:t>
      </w:r>
    </w:p>
    <w:p w14:paraId="70D84D5E" w14:textId="77E8CB43" w:rsidR="001B038A" w:rsidRPr="00E45C3D" w:rsidRDefault="001B038A" w:rsidP="001B038A">
      <w:pPr>
        <w:spacing w:line="264" w:lineRule="auto"/>
        <w:jc w:val="both"/>
        <w:rPr>
          <w:rFonts w:ascii="Calibri" w:hAnsi="Calibri" w:cs="Calibri"/>
          <w:bCs/>
          <w:color w:val="000000" w:themeColor="text1"/>
          <w:sz w:val="22"/>
          <w:szCs w:val="22"/>
          <w:lang w:val="en-GB"/>
        </w:rPr>
      </w:pPr>
      <w:r w:rsidRPr="00E45C3D">
        <w:rPr>
          <w:rFonts w:ascii="Calibri" w:hAnsi="Calibri" w:cs="Calibri"/>
          <w:bCs/>
          <w:color w:val="000000" w:themeColor="text1"/>
          <w:sz w:val="22"/>
          <w:szCs w:val="22"/>
          <w:lang w:val="en-GB"/>
        </w:rPr>
        <w:t>[2] Rani, P. R. S., et al (2022), Chemical Data Collections, 42, 100952.</w:t>
      </w:r>
    </w:p>
    <w:p w14:paraId="32C0F109" w14:textId="38CAC99E" w:rsidR="001B038A" w:rsidRPr="00E45C3D" w:rsidRDefault="001B038A" w:rsidP="001B038A">
      <w:pPr>
        <w:spacing w:line="264" w:lineRule="auto"/>
        <w:jc w:val="both"/>
        <w:rPr>
          <w:rFonts w:ascii="Calibri" w:hAnsi="Calibri" w:cs="Calibri"/>
          <w:bCs/>
          <w:color w:val="000000" w:themeColor="text1"/>
          <w:sz w:val="22"/>
          <w:szCs w:val="22"/>
          <w:lang w:val="en-GB"/>
        </w:rPr>
      </w:pPr>
      <w:r w:rsidRPr="00E45C3D">
        <w:rPr>
          <w:rFonts w:ascii="Calibri" w:hAnsi="Calibri" w:cs="Calibri"/>
          <w:bCs/>
          <w:color w:val="000000" w:themeColor="text1"/>
          <w:sz w:val="22"/>
          <w:szCs w:val="22"/>
          <w:lang w:val="en-GB"/>
        </w:rPr>
        <w:t>[3] Küçükgüzel, Ş. G., Şenkardeş, S. (2015). Recent advances in bioactive pyrazoles. European Journal of Medicinal Chemistry, 97(5), 786-815.</w:t>
      </w:r>
    </w:p>
    <w:p w14:paraId="237DF7A2" w14:textId="56A58B0A" w:rsidR="001B038A" w:rsidRPr="00E45C3D" w:rsidRDefault="001B038A" w:rsidP="001B038A">
      <w:pPr>
        <w:spacing w:line="264" w:lineRule="auto"/>
        <w:jc w:val="both"/>
        <w:rPr>
          <w:rFonts w:ascii="Calibri" w:hAnsi="Calibri" w:cs="Calibri"/>
          <w:bCs/>
          <w:color w:val="000000" w:themeColor="text1"/>
          <w:sz w:val="22"/>
          <w:szCs w:val="22"/>
          <w:lang w:val="en-GB"/>
        </w:rPr>
      </w:pPr>
      <w:r w:rsidRPr="00E45C3D">
        <w:rPr>
          <w:rFonts w:ascii="Calibri" w:hAnsi="Calibri" w:cs="Calibri"/>
          <w:bCs/>
          <w:color w:val="000000" w:themeColor="text1"/>
          <w:sz w:val="22"/>
          <w:szCs w:val="22"/>
          <w:lang w:val="en-GB"/>
        </w:rPr>
        <w:t>[4] Faria, J. V., et al (2017), Bioorganic &amp; Medicinal Chemistry, 25(21), 5891-5903.</w:t>
      </w:r>
    </w:p>
    <w:p w14:paraId="1D55ED20" w14:textId="27D3D3E7" w:rsidR="001B038A" w:rsidRPr="00E45C3D" w:rsidRDefault="001B038A" w:rsidP="001B038A">
      <w:pPr>
        <w:spacing w:line="264" w:lineRule="auto"/>
        <w:jc w:val="both"/>
        <w:rPr>
          <w:rFonts w:ascii="Calibri" w:hAnsi="Calibri" w:cs="Calibri"/>
          <w:bCs/>
          <w:color w:val="000000" w:themeColor="text1"/>
          <w:sz w:val="22"/>
          <w:szCs w:val="22"/>
          <w:lang w:val="en-GB"/>
        </w:rPr>
      </w:pPr>
      <w:r w:rsidRPr="00E45C3D">
        <w:rPr>
          <w:rFonts w:ascii="Calibri" w:hAnsi="Calibri" w:cs="Calibri"/>
          <w:bCs/>
          <w:color w:val="000000" w:themeColor="text1"/>
          <w:sz w:val="22"/>
          <w:szCs w:val="22"/>
          <w:lang w:val="en-GB"/>
        </w:rPr>
        <w:t>[5] Abdel-Wahab, B. F., Dawood, K. M. (2012), Arkivoc, 1, 491-545.</w:t>
      </w:r>
    </w:p>
    <w:p w14:paraId="3F916BEC" w14:textId="0476B21B" w:rsidR="001B038A" w:rsidRPr="00E45C3D" w:rsidRDefault="001B038A" w:rsidP="001B038A">
      <w:pPr>
        <w:spacing w:line="264" w:lineRule="auto"/>
        <w:jc w:val="both"/>
        <w:rPr>
          <w:rFonts w:ascii="Calibri" w:hAnsi="Calibri" w:cs="Calibri"/>
          <w:bCs/>
          <w:color w:val="000000" w:themeColor="text1"/>
          <w:sz w:val="22"/>
          <w:szCs w:val="22"/>
          <w:lang w:val="en-GB"/>
        </w:rPr>
      </w:pPr>
      <w:r w:rsidRPr="00E45C3D">
        <w:rPr>
          <w:rFonts w:ascii="Calibri" w:hAnsi="Calibri" w:cs="Calibri"/>
          <w:bCs/>
          <w:color w:val="000000" w:themeColor="text1"/>
          <w:sz w:val="22"/>
          <w:szCs w:val="22"/>
          <w:lang w:val="en-GB"/>
        </w:rPr>
        <w:t>Acknowledgment This research was funded by a grant (BiPyCellDeath) from funds of the Kaunas University of Technology and Vytautas Magnus University.</w:t>
      </w:r>
    </w:p>
    <w:p w14:paraId="0F9AC821" w14:textId="654A97EF" w:rsidR="001C2B5E" w:rsidRDefault="001C2B5E" w:rsidP="001B038A">
      <w:pPr>
        <w:jc w:val="both"/>
        <w:rPr>
          <w:rFonts w:ascii="Calibri" w:hAnsi="Calibri" w:cs="Calibri"/>
          <w:b/>
          <w:color w:val="006699"/>
          <w:lang w:val="en-GB"/>
        </w:rPr>
      </w:pPr>
      <w:r>
        <w:rPr>
          <w:rFonts w:ascii="Calibri" w:hAnsi="Calibri" w:cs="Calibri"/>
          <w:b/>
          <w:color w:val="006699"/>
          <w:lang w:val="en-GB"/>
        </w:rPr>
        <w:br w:type="page"/>
      </w:r>
    </w:p>
    <w:p w14:paraId="79B39C23" w14:textId="77777777" w:rsidR="006C122E" w:rsidRPr="009B77D7" w:rsidRDefault="006C122E" w:rsidP="00CF24B1">
      <w:pPr>
        <w:spacing w:line="360" w:lineRule="auto"/>
        <w:rPr>
          <w:rFonts w:ascii="Calibri" w:hAnsi="Calibri" w:cs="Calibri"/>
          <w:b/>
          <w:color w:val="006699"/>
          <w:lang w:val="en-GB"/>
        </w:rPr>
      </w:pPr>
    </w:p>
    <w:bookmarkEnd w:id="0"/>
    <w:p w14:paraId="084929FF" w14:textId="77777777" w:rsidR="00FC1500" w:rsidRPr="00FC1500" w:rsidRDefault="00FC1500" w:rsidP="00FC1500">
      <w:pPr>
        <w:spacing w:before="120" w:after="200"/>
        <w:jc w:val="center"/>
        <w:rPr>
          <w:rFonts w:cstheme="minorHAnsi"/>
          <w:b/>
          <w:bCs/>
          <w:lang w:val="lt-LT" w:eastAsia="lt-LT"/>
        </w:rPr>
      </w:pPr>
      <w:r w:rsidRPr="00FC1500">
        <w:rPr>
          <w:rFonts w:asciiTheme="minorHAnsi" w:hAnsiTheme="minorHAnsi" w:cstheme="minorHAnsi"/>
          <w:b/>
          <w:bCs/>
          <w:color w:val="006699"/>
          <w:lang w:val="en" w:eastAsia="lt-LT"/>
        </w:rPr>
        <w:t>Synthesis of substituted oxadiazoles and evaluation of anthelmintic properties</w:t>
      </w:r>
    </w:p>
    <w:p w14:paraId="12FB003C" w14:textId="315DAC1F" w:rsidR="006D1F49" w:rsidRPr="001B038A" w:rsidRDefault="00F75966" w:rsidP="008E454F">
      <w:pPr>
        <w:spacing w:before="120" w:after="200"/>
        <w:jc w:val="center"/>
        <w:rPr>
          <w:rFonts w:ascii="Calibri" w:hAnsi="Calibri" w:cs="Calibri"/>
          <w:lang w:val="lt-LT"/>
        </w:rPr>
      </w:pPr>
      <w:r w:rsidRPr="001B038A">
        <w:rPr>
          <w:rFonts w:ascii="Calibri" w:hAnsi="Calibri" w:cs="Calibri"/>
          <w:color w:val="000000"/>
          <w:u w:val="single"/>
          <w:lang w:val="lt-LT"/>
        </w:rPr>
        <w:t>Bartkeviciute I.</w:t>
      </w:r>
      <w:r w:rsidRPr="001B038A">
        <w:rPr>
          <w:rFonts w:ascii="Calibri" w:hAnsi="Calibri" w:cs="Calibri"/>
          <w:color w:val="000000"/>
          <w:vertAlign w:val="superscript"/>
          <w:lang w:val="lt-LT"/>
        </w:rPr>
        <w:t>a</w:t>
      </w:r>
      <w:r w:rsidR="002E2215" w:rsidRPr="001B038A">
        <w:rPr>
          <w:rFonts w:ascii="Calibri" w:hAnsi="Calibri" w:cs="Calibri"/>
          <w:color w:val="000000"/>
          <w:lang w:val="lt-LT"/>
        </w:rPr>
        <w:t>,</w:t>
      </w:r>
      <w:r w:rsidR="00C520C7" w:rsidRPr="001B038A">
        <w:rPr>
          <w:rFonts w:ascii="Calibri" w:hAnsi="Calibri" w:cs="Calibri"/>
          <w:color w:val="000000"/>
          <w:lang w:val="lt-LT"/>
        </w:rPr>
        <w:t xml:space="preserve"> </w:t>
      </w:r>
      <w:r w:rsidRPr="001B038A">
        <w:rPr>
          <w:rFonts w:ascii="Calibri" w:hAnsi="Calibri" w:cs="Calibri"/>
          <w:color w:val="000000"/>
          <w:lang w:val="lt-LT"/>
        </w:rPr>
        <w:t>Kederiene V.</w:t>
      </w:r>
      <w:r w:rsidR="00C520C7" w:rsidRPr="001B038A">
        <w:rPr>
          <w:rFonts w:ascii="Calibri" w:hAnsi="Calibri" w:cs="Calibri"/>
          <w:color w:val="000000"/>
          <w:vertAlign w:val="superscript"/>
          <w:lang w:val="lt-LT"/>
        </w:rPr>
        <w:t>a</w:t>
      </w:r>
      <w:r w:rsidR="00291717" w:rsidRPr="001B038A">
        <w:rPr>
          <w:rFonts w:ascii="Calibri" w:hAnsi="Calibri" w:cs="Calibri"/>
          <w:color w:val="000000"/>
          <w:lang w:val="lt-LT"/>
        </w:rPr>
        <w:t>,</w:t>
      </w:r>
      <w:r w:rsidRPr="001B038A">
        <w:rPr>
          <w:rFonts w:ascii="Calibri" w:hAnsi="Calibri" w:cs="Calibri"/>
          <w:color w:val="000000"/>
          <w:lang w:val="lt-LT"/>
        </w:rPr>
        <w:t xml:space="preserve"> Malinauskiene V.</w:t>
      </w:r>
      <w:r w:rsidRPr="001B038A">
        <w:rPr>
          <w:rFonts w:ascii="Calibri" w:hAnsi="Calibri" w:cs="Calibri"/>
          <w:color w:val="000000"/>
          <w:vertAlign w:val="superscript"/>
          <w:lang w:val="lt-LT"/>
        </w:rPr>
        <w:t>a</w:t>
      </w:r>
      <w:r w:rsidRPr="001B038A">
        <w:rPr>
          <w:rFonts w:ascii="Calibri" w:hAnsi="Calibri" w:cs="Calibri"/>
          <w:color w:val="000000"/>
          <w:lang w:val="lt-LT"/>
        </w:rPr>
        <w:t>, Zukauskaite A.</w:t>
      </w:r>
      <w:r w:rsidRPr="001B038A">
        <w:rPr>
          <w:rFonts w:ascii="Calibri" w:hAnsi="Calibri" w:cs="Calibri"/>
          <w:color w:val="000000"/>
          <w:vertAlign w:val="superscript"/>
          <w:lang w:val="lt-LT"/>
        </w:rPr>
        <w:t>b</w:t>
      </w:r>
      <w:r w:rsidRPr="001B038A">
        <w:rPr>
          <w:rFonts w:ascii="Calibri" w:hAnsi="Calibri" w:cs="Calibri"/>
          <w:color w:val="000000"/>
          <w:lang w:val="lt-LT"/>
        </w:rPr>
        <w:t>, Kadlecova, A.</w:t>
      </w:r>
      <w:r w:rsidR="0076385E" w:rsidRPr="001B038A">
        <w:rPr>
          <w:rFonts w:ascii="Calibri" w:hAnsi="Calibri" w:cs="Calibri"/>
          <w:color w:val="000000"/>
          <w:vertAlign w:val="superscript"/>
          <w:lang w:val="lt-LT"/>
        </w:rPr>
        <w:t>b</w:t>
      </w:r>
      <w:r w:rsidRPr="001B038A">
        <w:rPr>
          <w:rFonts w:ascii="Calibri" w:hAnsi="Calibri" w:cs="Calibri"/>
          <w:color w:val="000000"/>
          <w:lang w:val="lt-LT"/>
        </w:rPr>
        <w:t>, Jirsa, T.</w:t>
      </w:r>
      <w:r w:rsidR="0076385E" w:rsidRPr="001B038A">
        <w:rPr>
          <w:rFonts w:ascii="Calibri" w:hAnsi="Calibri" w:cs="Calibri"/>
          <w:color w:val="000000"/>
          <w:vertAlign w:val="superscript"/>
          <w:lang w:val="lt-LT"/>
        </w:rPr>
        <w:t>b</w:t>
      </w:r>
    </w:p>
    <w:p w14:paraId="4244AF40" w14:textId="6ACAC832" w:rsidR="00F42B7C" w:rsidRPr="00E45C3D" w:rsidRDefault="00F42B7C" w:rsidP="000F7453">
      <w:pPr>
        <w:jc w:val="center"/>
        <w:rPr>
          <w:rFonts w:ascii="Calibri" w:hAnsi="Calibri" w:cs="Calibri"/>
          <w:color w:val="000000"/>
          <w:sz w:val="22"/>
          <w:szCs w:val="22"/>
          <w:lang w:val="en-GB"/>
        </w:rPr>
      </w:pPr>
      <w:r w:rsidRPr="00E45C3D">
        <w:rPr>
          <w:rFonts w:ascii="Calibri" w:hAnsi="Calibri" w:cs="Calibri"/>
          <w:color w:val="000000"/>
          <w:sz w:val="22"/>
          <w:szCs w:val="22"/>
          <w:vertAlign w:val="superscript"/>
          <w:lang w:val="en-GB"/>
        </w:rPr>
        <w:t xml:space="preserve">a </w:t>
      </w:r>
      <w:r w:rsidR="0076385E" w:rsidRPr="00E45C3D">
        <w:rPr>
          <w:rFonts w:ascii="Calibri" w:hAnsi="Calibri" w:cs="Calibri"/>
          <w:color w:val="000000"/>
          <w:sz w:val="22"/>
          <w:szCs w:val="22"/>
          <w:lang w:val="en-GB"/>
        </w:rPr>
        <w:t>Kaunas University of Technology, Lithuania</w:t>
      </w:r>
      <w:r w:rsidRPr="00E45C3D">
        <w:rPr>
          <w:rFonts w:ascii="Calibri" w:hAnsi="Calibri" w:cs="Calibri"/>
          <w:color w:val="000000"/>
          <w:sz w:val="22"/>
          <w:szCs w:val="22"/>
          <w:lang w:val="en-GB"/>
        </w:rPr>
        <w:t xml:space="preserve">; </w:t>
      </w:r>
      <w:r w:rsidRPr="00E45C3D">
        <w:rPr>
          <w:rFonts w:ascii="Calibri" w:hAnsi="Calibri" w:cs="Calibri"/>
          <w:color w:val="000000"/>
          <w:sz w:val="22"/>
          <w:szCs w:val="22"/>
          <w:vertAlign w:val="superscript"/>
          <w:lang w:val="en-GB"/>
        </w:rPr>
        <w:t>b</w:t>
      </w:r>
      <w:r w:rsidR="003878FD" w:rsidRPr="00E45C3D">
        <w:rPr>
          <w:rFonts w:ascii="Calibri" w:hAnsi="Calibri" w:cs="Calibri"/>
          <w:color w:val="000000"/>
          <w:sz w:val="22"/>
          <w:szCs w:val="22"/>
          <w:vertAlign w:val="superscript"/>
          <w:lang w:val="en-GB"/>
        </w:rPr>
        <w:t xml:space="preserve"> </w:t>
      </w:r>
      <w:r w:rsidR="003878FD" w:rsidRPr="00E45C3D">
        <w:rPr>
          <w:rFonts w:ascii="Calibri" w:hAnsi="Calibri" w:cs="Calibri"/>
          <w:color w:val="000000"/>
          <w:sz w:val="22"/>
          <w:szCs w:val="22"/>
          <w:lang w:val="en-GB"/>
        </w:rPr>
        <w:t xml:space="preserve">Palacky University Olomouc, </w:t>
      </w:r>
      <w:r w:rsidR="003878FD" w:rsidRPr="00E45C3D">
        <w:rPr>
          <w:rFonts w:ascii="Calibri" w:hAnsi="Calibri" w:cs="Calibri"/>
          <w:color w:val="000000"/>
          <w:sz w:val="22"/>
          <w:szCs w:val="22"/>
        </w:rPr>
        <w:t>Czech Republic</w:t>
      </w:r>
    </w:p>
    <w:p w14:paraId="6003FF97" w14:textId="3B4188FE" w:rsidR="003B0D7D" w:rsidRPr="00E45C3D" w:rsidRDefault="006F5FFA" w:rsidP="00984CCA">
      <w:pPr>
        <w:jc w:val="center"/>
        <w:rPr>
          <w:rFonts w:ascii="Calibri" w:hAnsi="Calibri" w:cs="Calibri"/>
          <w:color w:val="000000"/>
          <w:sz w:val="22"/>
          <w:szCs w:val="22"/>
        </w:rPr>
      </w:pPr>
      <w:r w:rsidRPr="00E45C3D">
        <w:rPr>
          <w:rFonts w:ascii="Calibri" w:hAnsi="Calibri" w:cs="Calibri"/>
          <w:color w:val="000000"/>
          <w:sz w:val="22"/>
          <w:szCs w:val="22"/>
        </w:rPr>
        <w:t>ieva.bartkeviciute@ktu.lt</w:t>
      </w:r>
    </w:p>
    <w:p w14:paraId="14713FCA" w14:textId="77777777" w:rsidR="00153E94" w:rsidRPr="00B002F8" w:rsidRDefault="00153E94" w:rsidP="00984CCA">
      <w:pPr>
        <w:jc w:val="center"/>
        <w:rPr>
          <w:rFonts w:ascii="Calibri" w:hAnsi="Calibri" w:cs="Calibri"/>
        </w:rPr>
      </w:pPr>
    </w:p>
    <w:p w14:paraId="1A03733B" w14:textId="5DBF53BF" w:rsidR="00213071" w:rsidRPr="00213071" w:rsidRDefault="009C0288" w:rsidP="00213071">
      <w:pPr>
        <w:jc w:val="both"/>
        <w:rPr>
          <w:rFonts w:ascii="Calibri" w:hAnsi="Calibri" w:cs="Calibri"/>
          <w:sz w:val="22"/>
          <w:szCs w:val="22"/>
          <w:lang w:val="en-GB"/>
        </w:rPr>
      </w:pPr>
      <w:r w:rsidRPr="009C0288">
        <w:rPr>
          <w:rFonts w:ascii="Calibri" w:hAnsi="Calibri" w:cs="Calibri"/>
          <w:sz w:val="22"/>
          <w:szCs w:val="22"/>
          <w:lang w:val="en-GB"/>
        </w:rPr>
        <w:t>Heterocycles are a large and unique class of organic compounds with a wide variety</w:t>
      </w:r>
      <w:r w:rsidR="00842411" w:rsidRPr="007F07DA">
        <w:rPr>
          <w:rFonts w:ascii="Calibri" w:hAnsi="Calibri" w:cs="Calibri"/>
          <w:sz w:val="22"/>
          <w:szCs w:val="22"/>
          <w:lang w:val="en-GB"/>
        </w:rPr>
        <w:t xml:space="preserve"> of</w:t>
      </w:r>
      <w:r w:rsidRPr="009C0288">
        <w:rPr>
          <w:rFonts w:ascii="Calibri" w:hAnsi="Calibri" w:cs="Calibri"/>
          <w:sz w:val="22"/>
          <w:szCs w:val="22"/>
          <w:lang w:val="en-GB"/>
        </w:rPr>
        <w:t xml:space="preserve"> properties</w:t>
      </w:r>
      <w:r w:rsidR="002F02EC" w:rsidRPr="007F07DA">
        <w:rPr>
          <w:rFonts w:ascii="Calibri" w:hAnsi="Calibri" w:cs="Calibri"/>
          <w:sz w:val="22"/>
          <w:szCs w:val="22"/>
          <w:lang w:val="en-GB"/>
        </w:rPr>
        <w:t>.</w:t>
      </w:r>
      <w:r w:rsidR="004F0E74" w:rsidRPr="007F07DA">
        <w:rPr>
          <w:rFonts w:ascii="Calibri" w:hAnsi="Calibri" w:cs="Calibri"/>
          <w:sz w:val="22"/>
          <w:szCs w:val="22"/>
          <w:lang w:val="en-GB"/>
        </w:rPr>
        <w:t xml:space="preserve"> Belonging to the same class, oxadiazole and its derivatives exhibit </w:t>
      </w:r>
      <w:r w:rsidR="004F0E74" w:rsidRPr="00213071">
        <w:rPr>
          <w:rFonts w:ascii="Calibri" w:hAnsi="Calibri" w:cs="Calibri"/>
          <w:sz w:val="22"/>
          <w:szCs w:val="22"/>
          <w:lang w:val="en-GB"/>
        </w:rPr>
        <w:t>favorable physical, chemical, and pharmacokinetic properties</w:t>
      </w:r>
      <w:r w:rsidR="00FC1923" w:rsidRPr="007F07DA">
        <w:rPr>
          <w:rFonts w:ascii="Calibri" w:hAnsi="Calibri" w:cs="Calibri"/>
          <w:sz w:val="22"/>
          <w:szCs w:val="22"/>
          <w:lang w:val="en-GB"/>
        </w:rPr>
        <w:t xml:space="preserve"> such</w:t>
      </w:r>
      <w:r w:rsidR="004F0E74" w:rsidRPr="007F07DA">
        <w:rPr>
          <w:rFonts w:ascii="Calibri" w:hAnsi="Calibri" w:cs="Calibri"/>
          <w:sz w:val="22"/>
          <w:szCs w:val="22"/>
          <w:lang w:val="en-GB"/>
        </w:rPr>
        <w:t xml:space="preserve"> </w:t>
      </w:r>
      <w:r w:rsidR="00BA2011" w:rsidRPr="007F07DA">
        <w:rPr>
          <w:rFonts w:ascii="Calibri" w:hAnsi="Calibri" w:cs="Calibri"/>
          <w:sz w:val="22"/>
          <w:szCs w:val="22"/>
          <w:lang w:val="en-GB"/>
        </w:rPr>
        <w:t>as</w:t>
      </w:r>
      <w:r w:rsidR="009604CA" w:rsidRPr="007F07DA">
        <w:rPr>
          <w:rFonts w:ascii="Calibri" w:hAnsi="Calibri" w:cs="Calibri"/>
          <w:sz w:val="22"/>
          <w:szCs w:val="22"/>
          <w:lang w:val="en-GB"/>
        </w:rPr>
        <w:t xml:space="preserve"> an</w:t>
      </w:r>
      <w:r w:rsidR="004F0E74" w:rsidRPr="007F07DA">
        <w:rPr>
          <w:rFonts w:ascii="Calibri" w:hAnsi="Calibri" w:cs="Calibri"/>
          <w:sz w:val="22"/>
          <w:szCs w:val="22"/>
          <w:lang w:val="en-GB"/>
        </w:rPr>
        <w:t xml:space="preserve"> increased stability, relatively easy operation and broad biological application. [1,2]</w:t>
      </w:r>
      <w:r w:rsidR="00DE791D" w:rsidRPr="007F07DA">
        <w:rPr>
          <w:rFonts w:ascii="Calibri" w:hAnsi="Calibri" w:cs="Calibri"/>
          <w:sz w:val="22"/>
          <w:szCs w:val="22"/>
          <w:lang w:val="en-GB"/>
        </w:rPr>
        <w:t xml:space="preserve"> This knowledge</w:t>
      </w:r>
      <w:r w:rsidR="009A00AD" w:rsidRPr="007F07DA">
        <w:rPr>
          <w:rFonts w:ascii="Calibri" w:hAnsi="Calibri" w:cs="Calibri"/>
          <w:sz w:val="22"/>
          <w:szCs w:val="22"/>
          <w:lang w:val="en-GB"/>
        </w:rPr>
        <w:t xml:space="preserve"> </w:t>
      </w:r>
      <w:r w:rsidR="00213071" w:rsidRPr="00213071">
        <w:rPr>
          <w:rFonts w:ascii="Calibri" w:hAnsi="Calibri" w:cs="Calibri"/>
          <w:sz w:val="22"/>
          <w:szCs w:val="22"/>
          <w:lang w:val="en-GB"/>
        </w:rPr>
        <w:t>encourage</w:t>
      </w:r>
      <w:r w:rsidR="009A00AD" w:rsidRPr="007F07DA">
        <w:rPr>
          <w:rFonts w:ascii="Calibri" w:hAnsi="Calibri" w:cs="Calibri"/>
          <w:sz w:val="22"/>
          <w:szCs w:val="22"/>
          <w:lang w:val="en-GB"/>
        </w:rPr>
        <w:t>s</w:t>
      </w:r>
      <w:r w:rsidR="00213071" w:rsidRPr="00213071">
        <w:rPr>
          <w:rFonts w:ascii="Calibri" w:hAnsi="Calibri" w:cs="Calibri"/>
          <w:sz w:val="22"/>
          <w:szCs w:val="22"/>
          <w:lang w:val="en-GB"/>
        </w:rPr>
        <w:t xml:space="preserve"> the search and creation of more analogous compounds</w:t>
      </w:r>
      <w:r w:rsidR="00CB5D5A">
        <w:rPr>
          <w:rFonts w:ascii="Calibri" w:hAnsi="Calibri" w:cs="Calibri"/>
          <w:sz w:val="22"/>
          <w:szCs w:val="22"/>
          <w:lang w:val="en-GB"/>
        </w:rPr>
        <w:t xml:space="preserve"> preferably</w:t>
      </w:r>
      <w:r w:rsidR="00213071" w:rsidRPr="00213071">
        <w:rPr>
          <w:rFonts w:ascii="Calibri" w:hAnsi="Calibri" w:cs="Calibri"/>
          <w:sz w:val="22"/>
          <w:szCs w:val="22"/>
          <w:lang w:val="en-GB"/>
        </w:rPr>
        <w:t xml:space="preserve"> characterized by better cost and/</w:t>
      </w:r>
      <w:r w:rsidR="00E3240A">
        <w:rPr>
          <w:rFonts w:ascii="Calibri" w:hAnsi="Calibri" w:cs="Calibri"/>
          <w:sz w:val="22"/>
          <w:szCs w:val="22"/>
          <w:lang w:val="en-GB"/>
        </w:rPr>
        <w:t xml:space="preserve"> </w:t>
      </w:r>
      <w:r w:rsidR="00213071" w:rsidRPr="00213071">
        <w:rPr>
          <w:rFonts w:ascii="Calibri" w:hAnsi="Calibri" w:cs="Calibri"/>
          <w:sz w:val="22"/>
          <w:szCs w:val="22"/>
          <w:lang w:val="en-GB"/>
        </w:rPr>
        <w:t>or atom economy, greater specificity</w:t>
      </w:r>
      <w:r w:rsidR="00033175" w:rsidRPr="007F07DA">
        <w:rPr>
          <w:rFonts w:ascii="Calibri" w:hAnsi="Calibri" w:cs="Calibri"/>
          <w:sz w:val="22"/>
          <w:szCs w:val="22"/>
          <w:lang w:val="en-GB"/>
        </w:rPr>
        <w:t>,</w:t>
      </w:r>
      <w:r w:rsidR="00213071" w:rsidRPr="00213071">
        <w:rPr>
          <w:rFonts w:ascii="Calibri" w:hAnsi="Calibri" w:cs="Calibri"/>
          <w:sz w:val="22"/>
          <w:szCs w:val="22"/>
          <w:lang w:val="en-GB"/>
        </w:rPr>
        <w:t xml:space="preserve"> efficiency, and new exposure possibilities. [3]</w:t>
      </w:r>
    </w:p>
    <w:p w14:paraId="1168702F" w14:textId="32CD13D5" w:rsidR="00213071" w:rsidRPr="00213071" w:rsidRDefault="00213071" w:rsidP="00213071">
      <w:pPr>
        <w:jc w:val="both"/>
        <w:rPr>
          <w:rFonts w:ascii="Calibri" w:hAnsi="Calibri" w:cs="Calibri"/>
          <w:sz w:val="22"/>
          <w:szCs w:val="22"/>
          <w:lang w:val="en-GB"/>
        </w:rPr>
      </w:pPr>
      <w:r w:rsidRPr="00213071">
        <w:rPr>
          <w:rFonts w:ascii="Calibri" w:hAnsi="Calibri" w:cs="Calibri"/>
          <w:sz w:val="22"/>
          <w:szCs w:val="22"/>
          <w:lang w:val="en-GB"/>
        </w:rPr>
        <w:t>The aim of the work is to synthesize a group of new oxadiazole compounds with different aromatic structural bases by applying the principles of alkylation reactions in the hope of obtaining compounds with biological properties</w:t>
      </w:r>
      <w:r w:rsidR="00FD67F1" w:rsidRPr="007F07DA">
        <w:rPr>
          <w:rFonts w:ascii="Calibri" w:hAnsi="Calibri" w:cs="Calibri"/>
          <w:sz w:val="22"/>
          <w:szCs w:val="22"/>
          <w:lang w:val="en-GB"/>
        </w:rPr>
        <w:t xml:space="preserve"> directed to antihelmintic activity</w:t>
      </w:r>
      <w:r w:rsidRPr="00213071">
        <w:rPr>
          <w:rFonts w:ascii="Calibri" w:hAnsi="Calibri" w:cs="Calibri"/>
          <w:sz w:val="22"/>
          <w:szCs w:val="22"/>
          <w:lang w:val="en-GB"/>
        </w:rPr>
        <w:t>.</w:t>
      </w:r>
    </w:p>
    <w:p w14:paraId="7EBC6A54" w14:textId="39A1FC74" w:rsidR="00213071" w:rsidRPr="007F07DA" w:rsidRDefault="00213071" w:rsidP="009C0288">
      <w:pPr>
        <w:jc w:val="both"/>
        <w:rPr>
          <w:rFonts w:ascii="Calibri" w:hAnsi="Calibri" w:cs="Calibri"/>
          <w:sz w:val="22"/>
          <w:szCs w:val="22"/>
          <w:lang w:val="en-GB"/>
        </w:rPr>
      </w:pPr>
      <w:r w:rsidRPr="007F07DA">
        <w:rPr>
          <w:rFonts w:ascii="Calibri" w:hAnsi="Calibri" w:cs="Calibri"/>
          <w:sz w:val="22"/>
          <w:szCs w:val="22"/>
          <w:lang w:val="en-GB"/>
        </w:rPr>
        <w:t>The research started with the preparation of oxadiazole</w:t>
      </w:r>
      <w:r w:rsidR="009A00AD" w:rsidRPr="007F07DA">
        <w:rPr>
          <w:rFonts w:ascii="Calibri" w:hAnsi="Calibri" w:cs="Calibri"/>
          <w:sz w:val="22"/>
          <w:szCs w:val="22"/>
          <w:lang w:val="en-GB"/>
        </w:rPr>
        <w:t xml:space="preserve"> </w:t>
      </w:r>
      <w:r w:rsidRPr="007F07DA">
        <w:rPr>
          <w:rFonts w:ascii="Calibri" w:hAnsi="Calibri" w:cs="Calibri"/>
          <w:sz w:val="22"/>
          <w:szCs w:val="22"/>
          <w:lang w:val="en-GB"/>
        </w:rPr>
        <w:t>thiol according to the known reaction conditions [4]. The further synthesized oxadiazole thiol was treated with benzyl halides and the target alkylated oxadiazole derivatives were obtained in good</w:t>
      </w:r>
      <w:r w:rsidR="000334F0">
        <w:rPr>
          <w:rFonts w:ascii="Calibri" w:hAnsi="Calibri" w:cs="Calibri"/>
          <w:sz w:val="22"/>
          <w:szCs w:val="22"/>
          <w:lang w:val="en-GB"/>
        </w:rPr>
        <w:t xml:space="preserve"> to excelent</w:t>
      </w:r>
      <w:r w:rsidRPr="007F07DA">
        <w:rPr>
          <w:rFonts w:ascii="Calibri" w:hAnsi="Calibri" w:cs="Calibri"/>
          <w:sz w:val="22"/>
          <w:szCs w:val="22"/>
          <w:lang w:val="en-GB"/>
        </w:rPr>
        <w:t xml:space="preserve"> yields. Detailed spectroscopic studies confirmed the structures and high purity of the target compounds.</w:t>
      </w:r>
    </w:p>
    <w:p w14:paraId="35DC6A9E" w14:textId="6A758BC7" w:rsidR="00213071" w:rsidRPr="009C0288" w:rsidRDefault="00534382" w:rsidP="009C0288">
      <w:pPr>
        <w:jc w:val="both"/>
        <w:rPr>
          <w:rFonts w:ascii="Calibri" w:hAnsi="Calibri" w:cs="Calibri"/>
          <w:sz w:val="22"/>
          <w:szCs w:val="22"/>
          <w:lang w:val="en-GB"/>
        </w:rPr>
      </w:pPr>
      <w:r>
        <w:rPr>
          <w:rFonts w:ascii="Calibri" w:hAnsi="Calibri" w:cs="Calibri"/>
          <w:sz w:val="22"/>
          <w:szCs w:val="22"/>
          <w:lang w:val="en-GB"/>
        </w:rPr>
        <w:t>Afterwards, it</w:t>
      </w:r>
      <w:r w:rsidR="00C2458D">
        <w:rPr>
          <w:rFonts w:ascii="Calibri" w:hAnsi="Calibri" w:cs="Calibri"/>
          <w:sz w:val="22"/>
          <w:szCs w:val="22"/>
          <w:lang w:val="en-GB"/>
        </w:rPr>
        <w:t xml:space="preserve"> </w:t>
      </w:r>
      <w:r w:rsidR="00213071" w:rsidRPr="007F07DA">
        <w:rPr>
          <w:rFonts w:ascii="Calibri" w:hAnsi="Calibri" w:cs="Calibri"/>
          <w:sz w:val="22"/>
          <w:szCs w:val="22"/>
          <w:lang w:val="en-GB"/>
        </w:rPr>
        <w:t>was decided to evaluate the</w:t>
      </w:r>
      <w:r>
        <w:rPr>
          <w:rFonts w:ascii="Calibri" w:hAnsi="Calibri" w:cs="Calibri"/>
          <w:sz w:val="22"/>
          <w:szCs w:val="22"/>
          <w:lang w:val="en-GB"/>
        </w:rPr>
        <w:t xml:space="preserve"> antihelmintic</w:t>
      </w:r>
      <w:r w:rsidR="00213071" w:rsidRPr="007F07DA">
        <w:rPr>
          <w:rFonts w:ascii="Calibri" w:hAnsi="Calibri" w:cs="Calibri"/>
          <w:sz w:val="22"/>
          <w:szCs w:val="22"/>
          <w:lang w:val="en-GB"/>
        </w:rPr>
        <w:t xml:space="preserve"> properties of the synthesized compounds for research using model nematodes </w:t>
      </w:r>
      <w:r w:rsidR="00213071" w:rsidRPr="007F07DA">
        <w:rPr>
          <w:rFonts w:ascii="Calibri" w:hAnsi="Calibri" w:cs="Calibri"/>
          <w:i/>
          <w:iCs/>
          <w:sz w:val="22"/>
          <w:szCs w:val="22"/>
          <w:lang w:val="en-GB"/>
        </w:rPr>
        <w:t>C. elegans</w:t>
      </w:r>
      <w:r w:rsidR="00213071" w:rsidRPr="007F07DA">
        <w:rPr>
          <w:rFonts w:ascii="Calibri" w:hAnsi="Calibri" w:cs="Calibri"/>
          <w:sz w:val="22"/>
          <w:szCs w:val="22"/>
          <w:lang w:val="en-GB"/>
        </w:rPr>
        <w:t xml:space="preserve">. Using the chitinase test, it was determined that two synthesized compounds had </w:t>
      </w:r>
      <w:r w:rsidR="00C412CE" w:rsidRPr="007F07DA">
        <w:rPr>
          <w:rFonts w:ascii="Calibri" w:hAnsi="Calibri" w:cs="Calibri"/>
          <w:sz w:val="22"/>
          <w:szCs w:val="22"/>
          <w:lang w:val="en-GB"/>
        </w:rPr>
        <w:t xml:space="preserve">a greater </w:t>
      </w:r>
      <w:r w:rsidR="00213071" w:rsidRPr="007F07DA">
        <w:rPr>
          <w:rFonts w:ascii="Calibri" w:hAnsi="Calibri" w:cs="Calibri"/>
          <w:sz w:val="22"/>
          <w:szCs w:val="22"/>
          <w:lang w:val="en-GB"/>
        </w:rPr>
        <w:t xml:space="preserve">influence on the development of the model nematode </w:t>
      </w:r>
      <w:r w:rsidR="00213071" w:rsidRPr="007F07DA">
        <w:rPr>
          <w:rFonts w:ascii="Calibri" w:hAnsi="Calibri" w:cs="Calibri"/>
          <w:i/>
          <w:iCs/>
          <w:sz w:val="22"/>
          <w:szCs w:val="22"/>
          <w:lang w:val="en-GB"/>
        </w:rPr>
        <w:t>C. elegans</w:t>
      </w:r>
      <w:r w:rsidR="00213071" w:rsidRPr="007F07DA">
        <w:rPr>
          <w:rFonts w:ascii="Calibri" w:hAnsi="Calibri" w:cs="Calibri"/>
          <w:sz w:val="22"/>
          <w:szCs w:val="22"/>
          <w:lang w:val="en-GB"/>
        </w:rPr>
        <w:t>, while others showed moderate activity.</w:t>
      </w:r>
    </w:p>
    <w:p w14:paraId="49EE6C56" w14:textId="77777777" w:rsidR="00DA4C85" w:rsidRDefault="00DA4C85" w:rsidP="00DA4C85">
      <w:pPr>
        <w:rPr>
          <w:rFonts w:ascii="Calibri" w:hAnsi="Calibri" w:cs="Calibri"/>
        </w:rPr>
      </w:pPr>
    </w:p>
    <w:p w14:paraId="1A5B14E9" w14:textId="5FA263E8" w:rsidR="00291717" w:rsidRPr="00287B1C" w:rsidRDefault="002E2215" w:rsidP="00951276">
      <w:pPr>
        <w:jc w:val="both"/>
        <w:rPr>
          <w:rFonts w:ascii="Calibri" w:hAnsi="Calibri" w:cs="Calibri"/>
          <w:b/>
          <w:bCs/>
          <w:sz w:val="22"/>
          <w:szCs w:val="22"/>
        </w:rPr>
      </w:pPr>
      <w:r w:rsidRPr="00287B1C">
        <w:rPr>
          <w:rFonts w:ascii="Calibri" w:hAnsi="Calibri" w:cs="Calibri"/>
          <w:b/>
          <w:bCs/>
          <w:sz w:val="22"/>
          <w:szCs w:val="22"/>
        </w:rPr>
        <w:t>References</w:t>
      </w:r>
    </w:p>
    <w:p w14:paraId="7AC5715A" w14:textId="5C04AB9E" w:rsidR="00E05F8C" w:rsidRPr="00287B1C" w:rsidRDefault="001C7D75" w:rsidP="00951276">
      <w:pPr>
        <w:jc w:val="both"/>
        <w:rPr>
          <w:rFonts w:ascii="Calibri" w:hAnsi="Calibri" w:cs="Calibri"/>
          <w:sz w:val="22"/>
          <w:szCs w:val="22"/>
        </w:rPr>
      </w:pPr>
      <w:r w:rsidRPr="00287B1C">
        <w:rPr>
          <w:rFonts w:ascii="Calibri" w:hAnsi="Calibri" w:cs="Calibri"/>
          <w:sz w:val="22"/>
          <w:szCs w:val="22"/>
          <w:lang w:val="hu-HU"/>
        </w:rPr>
        <w:t xml:space="preserve">[1] </w:t>
      </w:r>
      <w:r w:rsidR="00E05F8C" w:rsidRPr="00287B1C">
        <w:rPr>
          <w:rFonts w:ascii="Calibri" w:hAnsi="Calibri" w:cs="Calibri"/>
          <w:sz w:val="22"/>
          <w:szCs w:val="22"/>
        </w:rPr>
        <w:t xml:space="preserve">Ansari, A., Ali, A., Asif, M. </w:t>
      </w:r>
      <w:r w:rsidR="00E05F8C" w:rsidRPr="00287B1C">
        <w:rPr>
          <w:rFonts w:ascii="Calibri" w:hAnsi="Calibri" w:cs="Calibri"/>
          <w:i/>
          <w:iCs/>
          <w:sz w:val="22"/>
          <w:szCs w:val="22"/>
        </w:rPr>
        <w:t>New J. Chem</w:t>
      </w:r>
      <w:r w:rsidR="00E05F8C" w:rsidRPr="00287B1C">
        <w:rPr>
          <w:rFonts w:ascii="Calibri" w:hAnsi="Calibri" w:cs="Calibri"/>
          <w:sz w:val="22"/>
          <w:szCs w:val="22"/>
        </w:rPr>
        <w:t>.,</w:t>
      </w:r>
      <w:r w:rsidR="00B3693A" w:rsidRPr="00287B1C">
        <w:rPr>
          <w:rFonts w:ascii="Calibri" w:hAnsi="Calibri" w:cs="Calibri"/>
          <w:sz w:val="22"/>
          <w:szCs w:val="22"/>
        </w:rPr>
        <w:t xml:space="preserve"> 2017,</w:t>
      </w:r>
      <w:r w:rsidR="00E05F8C" w:rsidRPr="00287B1C">
        <w:rPr>
          <w:rFonts w:ascii="Calibri" w:hAnsi="Calibri" w:cs="Calibri"/>
          <w:sz w:val="22"/>
          <w:szCs w:val="22"/>
        </w:rPr>
        <w:t xml:space="preserve"> 41, 16-41.</w:t>
      </w:r>
    </w:p>
    <w:p w14:paraId="039A87BB" w14:textId="0EF400C8" w:rsidR="00E05F8C" w:rsidRPr="00E05F8C" w:rsidRDefault="0025676C" w:rsidP="00951276">
      <w:pPr>
        <w:jc w:val="both"/>
        <w:rPr>
          <w:rFonts w:ascii="Calibri" w:hAnsi="Calibri" w:cs="Calibri"/>
          <w:sz w:val="22"/>
          <w:szCs w:val="22"/>
        </w:rPr>
      </w:pPr>
      <w:r w:rsidRPr="00287B1C">
        <w:rPr>
          <w:rFonts w:ascii="Calibri" w:hAnsi="Calibri" w:cs="Calibri"/>
          <w:sz w:val="22"/>
          <w:szCs w:val="22"/>
        </w:rPr>
        <w:t>[2]</w:t>
      </w:r>
      <w:r w:rsidR="00E45FDE" w:rsidRPr="00287B1C">
        <w:rPr>
          <w:rFonts w:ascii="Calibri" w:hAnsi="Calibri" w:cs="Calibri"/>
          <w:sz w:val="22"/>
          <w:szCs w:val="22"/>
        </w:rPr>
        <w:t xml:space="preserve"> </w:t>
      </w:r>
      <w:r w:rsidR="00E05F8C" w:rsidRPr="00E05F8C">
        <w:rPr>
          <w:rFonts w:ascii="Calibri" w:hAnsi="Calibri" w:cs="Calibri"/>
          <w:sz w:val="22"/>
          <w:szCs w:val="22"/>
        </w:rPr>
        <w:t xml:space="preserve">Wang, J., Sun, W., Jia, W.-D., Bian, M., Yu, L.-J. </w:t>
      </w:r>
      <w:r w:rsidR="00E05F8C" w:rsidRPr="00E05F8C">
        <w:rPr>
          <w:rFonts w:ascii="Calibri" w:hAnsi="Calibri" w:cs="Calibri"/>
          <w:i/>
          <w:iCs/>
          <w:sz w:val="22"/>
          <w:szCs w:val="22"/>
        </w:rPr>
        <w:t>J. Enzyme Inhib Med Chem</w:t>
      </w:r>
      <w:r w:rsidR="00E05F8C" w:rsidRPr="00E05F8C">
        <w:rPr>
          <w:rFonts w:ascii="Calibri" w:hAnsi="Calibri" w:cs="Calibri"/>
          <w:sz w:val="22"/>
          <w:szCs w:val="22"/>
        </w:rPr>
        <w:t>,</w:t>
      </w:r>
      <w:r w:rsidR="00B9750E" w:rsidRPr="00287B1C">
        <w:rPr>
          <w:rFonts w:ascii="Calibri" w:hAnsi="Calibri" w:cs="Calibri"/>
          <w:sz w:val="22"/>
          <w:szCs w:val="22"/>
        </w:rPr>
        <w:t xml:space="preserve"> </w:t>
      </w:r>
      <w:r w:rsidR="00B9750E" w:rsidRPr="00E05F8C">
        <w:rPr>
          <w:rFonts w:ascii="Calibri" w:hAnsi="Calibri" w:cs="Calibri"/>
          <w:sz w:val="22"/>
          <w:szCs w:val="22"/>
        </w:rPr>
        <w:t>2022</w:t>
      </w:r>
      <w:r w:rsidR="00B9750E" w:rsidRPr="00287B1C">
        <w:rPr>
          <w:rFonts w:ascii="Calibri" w:hAnsi="Calibri" w:cs="Calibri"/>
          <w:sz w:val="22"/>
          <w:szCs w:val="22"/>
        </w:rPr>
        <w:t>,</w:t>
      </w:r>
      <w:r w:rsidR="00E05F8C" w:rsidRPr="00E05F8C">
        <w:rPr>
          <w:rFonts w:ascii="Calibri" w:hAnsi="Calibri" w:cs="Calibri"/>
          <w:sz w:val="22"/>
          <w:szCs w:val="22"/>
        </w:rPr>
        <w:t xml:space="preserve"> 37 (1), 2304-2319.</w:t>
      </w:r>
    </w:p>
    <w:p w14:paraId="5A55B220" w14:textId="41CEAE88" w:rsidR="00E05F8C" w:rsidRPr="00287B1C" w:rsidRDefault="001462DB" w:rsidP="00951276">
      <w:pPr>
        <w:jc w:val="both"/>
        <w:rPr>
          <w:rFonts w:ascii="Calibri" w:hAnsi="Calibri" w:cs="Calibri"/>
          <w:sz w:val="22"/>
          <w:szCs w:val="22"/>
        </w:rPr>
      </w:pPr>
      <w:r w:rsidRPr="00287B1C">
        <w:rPr>
          <w:rFonts w:ascii="Calibri" w:hAnsi="Calibri" w:cs="Calibri"/>
          <w:sz w:val="22"/>
          <w:szCs w:val="22"/>
        </w:rPr>
        <w:t>[3]</w:t>
      </w:r>
      <w:r w:rsidR="00E45FDE" w:rsidRPr="00287B1C">
        <w:rPr>
          <w:rFonts w:ascii="Calibri" w:hAnsi="Calibri" w:cs="Calibri"/>
          <w:sz w:val="22"/>
          <w:szCs w:val="22"/>
        </w:rPr>
        <w:t xml:space="preserve"> </w:t>
      </w:r>
      <w:r w:rsidR="00E05F8C" w:rsidRPr="00E05F8C">
        <w:rPr>
          <w:rFonts w:ascii="Calibri" w:hAnsi="Calibri" w:cs="Calibri"/>
          <w:sz w:val="22"/>
          <w:szCs w:val="22"/>
        </w:rPr>
        <w:t xml:space="preserve">Siwach, A., Verma, P. K. </w:t>
      </w:r>
      <w:r w:rsidR="00E05F8C" w:rsidRPr="00E05F8C">
        <w:rPr>
          <w:rFonts w:ascii="Calibri" w:hAnsi="Calibri" w:cs="Calibri"/>
          <w:i/>
          <w:iCs/>
          <w:sz w:val="22"/>
          <w:szCs w:val="22"/>
        </w:rPr>
        <w:t>BMC Chemistry</w:t>
      </w:r>
      <w:r w:rsidR="004C208E" w:rsidRPr="00287B1C">
        <w:rPr>
          <w:rFonts w:ascii="Calibri" w:hAnsi="Calibri" w:cs="Calibri"/>
          <w:i/>
          <w:iCs/>
          <w:sz w:val="22"/>
          <w:szCs w:val="22"/>
        </w:rPr>
        <w:t>,</w:t>
      </w:r>
      <w:r w:rsidR="00C855F6" w:rsidRPr="00287B1C">
        <w:rPr>
          <w:rFonts w:ascii="Calibri" w:hAnsi="Calibri" w:cs="Calibri"/>
          <w:sz w:val="22"/>
          <w:szCs w:val="22"/>
        </w:rPr>
        <w:t xml:space="preserve"> </w:t>
      </w:r>
      <w:r w:rsidR="00C855F6" w:rsidRPr="00E05F8C">
        <w:rPr>
          <w:rFonts w:ascii="Calibri" w:hAnsi="Calibri" w:cs="Calibri"/>
          <w:sz w:val="22"/>
          <w:szCs w:val="22"/>
        </w:rPr>
        <w:t>2020</w:t>
      </w:r>
      <w:r w:rsidR="00C855F6" w:rsidRPr="00287B1C">
        <w:rPr>
          <w:rFonts w:ascii="Calibri" w:hAnsi="Calibri" w:cs="Calibri"/>
          <w:sz w:val="22"/>
          <w:szCs w:val="22"/>
        </w:rPr>
        <w:t>,</w:t>
      </w:r>
      <w:r w:rsidR="00E05F8C" w:rsidRPr="00E05F8C">
        <w:rPr>
          <w:rFonts w:ascii="Calibri" w:hAnsi="Calibri" w:cs="Calibri"/>
          <w:sz w:val="22"/>
          <w:szCs w:val="22"/>
        </w:rPr>
        <w:t xml:space="preserve"> 14, 1470- 1510.</w:t>
      </w:r>
    </w:p>
    <w:p w14:paraId="73C5D749" w14:textId="77AD6490" w:rsidR="00880A4F" w:rsidRDefault="00197CBA" w:rsidP="00951276">
      <w:pPr>
        <w:jc w:val="both"/>
        <w:rPr>
          <w:rFonts w:ascii="Calibri" w:hAnsi="Calibri" w:cs="Calibri"/>
          <w:bCs/>
          <w:sz w:val="22"/>
          <w:szCs w:val="22"/>
        </w:rPr>
      </w:pPr>
      <w:r w:rsidRPr="00287B1C">
        <w:rPr>
          <w:rFonts w:ascii="Calibri" w:hAnsi="Calibri" w:cs="Calibri"/>
          <w:sz w:val="22"/>
          <w:szCs w:val="22"/>
        </w:rPr>
        <w:t>[4]</w:t>
      </w:r>
      <w:r w:rsidR="00287B1C">
        <w:rPr>
          <w:rFonts w:ascii="Calibri" w:hAnsi="Calibri" w:cs="Calibri"/>
          <w:sz w:val="22"/>
          <w:szCs w:val="22"/>
        </w:rPr>
        <w:t xml:space="preserve"> </w:t>
      </w:r>
      <w:r w:rsidRPr="00287B1C">
        <w:rPr>
          <w:rFonts w:ascii="Calibri" w:hAnsi="Calibri" w:cs="Calibri"/>
          <w:sz w:val="22"/>
          <w:szCs w:val="22"/>
        </w:rPr>
        <w:t xml:space="preserve">Nayak, S. G., Poojary, B. </w:t>
      </w:r>
      <w:r w:rsidRPr="00287B1C">
        <w:rPr>
          <w:rFonts w:ascii="Calibri" w:hAnsi="Calibri" w:cs="Calibri"/>
          <w:bCs/>
          <w:i/>
          <w:iCs/>
          <w:sz w:val="22"/>
          <w:szCs w:val="22"/>
        </w:rPr>
        <w:t>Chemistry Africa</w:t>
      </w:r>
      <w:r w:rsidRPr="00287B1C">
        <w:rPr>
          <w:rFonts w:ascii="Calibri" w:hAnsi="Calibri" w:cs="Calibri"/>
          <w:bCs/>
          <w:sz w:val="22"/>
          <w:szCs w:val="22"/>
        </w:rPr>
        <w:t>, 2019, 2, 551-571</w:t>
      </w:r>
      <w:r w:rsidR="00A3742A">
        <w:rPr>
          <w:rFonts w:ascii="Calibri" w:hAnsi="Calibri" w:cs="Calibri"/>
          <w:bCs/>
          <w:sz w:val="22"/>
          <w:szCs w:val="22"/>
        </w:rPr>
        <w:t>.</w:t>
      </w:r>
    </w:p>
    <w:p w14:paraId="51F7EAD6" w14:textId="3542703F" w:rsidR="001C2B5E" w:rsidRDefault="001C2B5E">
      <w:pPr>
        <w:rPr>
          <w:rFonts w:ascii="Calibri" w:hAnsi="Calibri" w:cs="Calibri"/>
          <w:sz w:val="22"/>
          <w:szCs w:val="22"/>
        </w:rPr>
      </w:pPr>
      <w:r>
        <w:rPr>
          <w:rFonts w:ascii="Calibri" w:hAnsi="Calibri" w:cs="Calibri"/>
          <w:sz w:val="22"/>
          <w:szCs w:val="22"/>
        </w:rPr>
        <w:br w:type="page"/>
      </w:r>
    </w:p>
    <w:p w14:paraId="367E6821" w14:textId="77777777" w:rsidR="00256364" w:rsidRDefault="00256364" w:rsidP="001C2B5E">
      <w:pPr>
        <w:spacing w:line="360" w:lineRule="auto"/>
        <w:jc w:val="center"/>
        <w:rPr>
          <w:rFonts w:ascii="Calibri" w:hAnsi="Calibri" w:cs="Calibri"/>
          <w:b/>
          <w:color w:val="006699"/>
          <w:lang w:val="en-GB"/>
        </w:rPr>
      </w:pPr>
    </w:p>
    <w:p w14:paraId="4456DB0A" w14:textId="4069D0DC" w:rsidR="001C2B5E" w:rsidRPr="009B77D7" w:rsidRDefault="001C2B5E" w:rsidP="001C2B5E">
      <w:pPr>
        <w:spacing w:line="360" w:lineRule="auto"/>
        <w:jc w:val="center"/>
        <w:rPr>
          <w:rFonts w:ascii="Calibri" w:hAnsi="Calibri" w:cs="Calibri"/>
          <w:b/>
          <w:color w:val="006699"/>
          <w:lang w:val="en-GB"/>
        </w:rPr>
      </w:pPr>
      <w:r w:rsidRPr="008C6A68">
        <w:rPr>
          <w:rFonts w:ascii="Calibri" w:hAnsi="Calibri" w:cs="Calibri"/>
          <w:b/>
          <w:color w:val="006699"/>
          <w:lang w:val="en-GB"/>
        </w:rPr>
        <w:t>Molecular Logic Gates Derived from Fluorescent Natural Products</w:t>
      </w:r>
    </w:p>
    <w:p w14:paraId="531DF0B7" w14:textId="77777777" w:rsidR="001C2B5E" w:rsidRPr="00422B0C" w:rsidRDefault="001C2B5E" w:rsidP="001C2B5E">
      <w:pPr>
        <w:spacing w:line="360" w:lineRule="auto"/>
        <w:jc w:val="center"/>
        <w:rPr>
          <w:rFonts w:ascii="Calibri" w:hAnsi="Calibri" w:cs="Calibri"/>
          <w:lang w:val="en-GB"/>
        </w:rPr>
      </w:pPr>
      <w:r w:rsidRPr="008C6A68">
        <w:rPr>
          <w:rFonts w:ascii="Calibri" w:hAnsi="Calibri" w:cs="Calibri"/>
          <w:color w:val="000000"/>
          <w:u w:val="single"/>
          <w:lang w:val="en-GB"/>
        </w:rPr>
        <w:t>David C. Magri</w:t>
      </w:r>
    </w:p>
    <w:p w14:paraId="3EA86D67" w14:textId="77777777" w:rsidR="001C2B5E" w:rsidRPr="00E45C3D" w:rsidRDefault="001C2B5E" w:rsidP="001C2B5E">
      <w:pPr>
        <w:jc w:val="center"/>
        <w:rPr>
          <w:rFonts w:ascii="Calibri" w:hAnsi="Calibri" w:cs="Calibri"/>
          <w:color w:val="000000"/>
          <w:sz w:val="22"/>
          <w:szCs w:val="22"/>
          <w:lang w:val="en-GB"/>
        </w:rPr>
      </w:pPr>
      <w:r w:rsidRPr="00E45C3D">
        <w:rPr>
          <w:rFonts w:ascii="Calibri" w:hAnsi="Calibri" w:cs="Calibri"/>
          <w:color w:val="000000"/>
          <w:sz w:val="22"/>
          <w:szCs w:val="22"/>
          <w:lang w:val="en-GB"/>
        </w:rPr>
        <w:t>Department of Chemistry, Faculty of Science, University of Malta,</w:t>
      </w:r>
    </w:p>
    <w:p w14:paraId="5E79E8D9" w14:textId="77777777" w:rsidR="001C2B5E" w:rsidRPr="00E45C3D" w:rsidRDefault="001C2B5E" w:rsidP="001C2B5E">
      <w:pPr>
        <w:jc w:val="center"/>
        <w:rPr>
          <w:rFonts w:ascii="Calibri" w:hAnsi="Calibri" w:cs="Calibri"/>
          <w:color w:val="000000"/>
          <w:sz w:val="22"/>
          <w:szCs w:val="22"/>
          <w:lang w:val="pt-PT"/>
        </w:rPr>
      </w:pPr>
      <w:r w:rsidRPr="00E45C3D">
        <w:rPr>
          <w:rFonts w:ascii="Calibri" w:hAnsi="Calibri" w:cs="Calibri"/>
          <w:color w:val="000000"/>
          <w:sz w:val="22"/>
          <w:szCs w:val="22"/>
          <w:lang w:val="en-GB"/>
        </w:rPr>
        <w:t xml:space="preserve"> </w:t>
      </w:r>
      <w:r w:rsidRPr="00E45C3D">
        <w:rPr>
          <w:rFonts w:ascii="Calibri" w:hAnsi="Calibri" w:cs="Calibri"/>
          <w:color w:val="000000"/>
          <w:sz w:val="22"/>
          <w:szCs w:val="22"/>
          <w:lang w:val="pt-PT"/>
        </w:rPr>
        <w:t>Msida, MSD 2080, Malta. david.magri@um.edu.mt</w:t>
      </w:r>
    </w:p>
    <w:p w14:paraId="05E6C446" w14:textId="77777777" w:rsidR="001C2B5E" w:rsidRPr="00E45C3D" w:rsidRDefault="001C2B5E" w:rsidP="001C2B5E">
      <w:pPr>
        <w:jc w:val="center"/>
        <w:rPr>
          <w:rFonts w:ascii="Calibri" w:hAnsi="Calibri" w:cs="Calibri"/>
          <w:sz w:val="22"/>
          <w:szCs w:val="22"/>
          <w:lang w:val="pt-PT"/>
        </w:rPr>
      </w:pPr>
    </w:p>
    <w:p w14:paraId="01045314" w14:textId="77777777" w:rsidR="001C2B5E" w:rsidRPr="00E45C3D" w:rsidRDefault="001C2B5E" w:rsidP="001C2B5E">
      <w:pPr>
        <w:jc w:val="both"/>
        <w:rPr>
          <w:rFonts w:ascii="Calibri" w:hAnsi="Calibri" w:cs="Calibri"/>
        </w:rPr>
      </w:pPr>
      <w:r w:rsidRPr="00E45C3D">
        <w:rPr>
          <w:rFonts w:ascii="Calibri" w:hAnsi="Calibri" w:cs="Calibri"/>
        </w:rPr>
        <w:t xml:space="preserve">Fluorescent natural products, numbering more than 300 known compounds, have been a source of fascination for centuries [1]. They are old molecules, which we believe are an untapped source for new concepts in the field of molecular logic-based computation [2]. The first molecular logic gate was designed and engineered in an organic laboratory [3], and ever since, so have many thousands of molecular logic gates. We will explain and highlight, however, that naturally occurring fluorescent molecular logic gates have existed long before the birth of molecular logic in 1993, and even long before the introduction of mathematical logic by George Boole in 1854 [4]. In fact, even though examples were in plain sight to the fluorescence chemical sensing community, they were overlooked [5]. In this presentation, we will highlight examples of natural products and polymeric natural product derivatives as optical logic-based molecules [6]. The </w:t>
      </w:r>
      <w:r w:rsidRPr="00E45C3D">
        <w:rPr>
          <w:rFonts w:ascii="Calibri" w:hAnsi="Calibri" w:cs="Calibri"/>
          <w:i/>
          <w:iCs/>
        </w:rPr>
        <w:t>cinchona</w:t>
      </w:r>
      <w:r w:rsidRPr="00E45C3D">
        <w:rPr>
          <w:rFonts w:ascii="Calibri" w:hAnsi="Calibri" w:cs="Calibri"/>
        </w:rPr>
        <w:t xml:space="preserve"> alkaloids, including the classic anti-malarial drug quinine, are demonstrated as fluorescent INHIBIT logic gates and colorimetric AND logic gates [7,8].  </w:t>
      </w:r>
    </w:p>
    <w:p w14:paraId="1DF3C8BC" w14:textId="77777777" w:rsidR="001C2B5E" w:rsidRPr="008C6A68" w:rsidRDefault="001C2B5E" w:rsidP="001C2B5E">
      <w:pPr>
        <w:jc w:val="both"/>
        <w:rPr>
          <w:rFonts w:ascii="Calibri" w:hAnsi="Calibri" w:cs="Calibri"/>
          <w:sz w:val="22"/>
          <w:szCs w:val="22"/>
        </w:rPr>
      </w:pPr>
    </w:p>
    <w:p w14:paraId="2C689D0E" w14:textId="77777777" w:rsidR="001C2B5E" w:rsidRDefault="001C2B5E" w:rsidP="001C2B5E">
      <w:pPr>
        <w:jc w:val="center"/>
        <w:rPr>
          <w:rFonts w:ascii="Calibri" w:hAnsi="Calibri" w:cs="Calibri"/>
        </w:rPr>
      </w:pPr>
      <w:r>
        <w:rPr>
          <w:rFonts w:ascii="Helvetica Neue" w:hAnsi="Helvetica Neue"/>
          <w:noProof/>
        </w:rPr>
        <w:drawing>
          <wp:inline distT="0" distB="0" distL="0" distR="0" wp14:anchorId="1218A291" wp14:editId="54EDFA5F">
            <wp:extent cx="1837189" cy="1086338"/>
            <wp:effectExtent l="0" t="0" r="4445" b="6350"/>
            <wp:docPr id="548067454" name="Picture 1"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67454" name="Picture 1" descr="A structure of a chemical formula&#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6095" cy="1091604"/>
                    </a:xfrm>
                    <a:prstGeom prst="rect">
                      <a:avLst/>
                    </a:prstGeom>
                    <a:noFill/>
                  </pic:spPr>
                </pic:pic>
              </a:graphicData>
            </a:graphic>
          </wp:inline>
        </w:drawing>
      </w:r>
    </w:p>
    <w:p w14:paraId="445DEF60" w14:textId="77777777" w:rsidR="001C2B5E" w:rsidRPr="001B038A" w:rsidRDefault="001C2B5E" w:rsidP="001C2B5E">
      <w:pPr>
        <w:rPr>
          <w:rFonts w:ascii="Calibri" w:hAnsi="Calibri" w:cs="Calibri"/>
          <w:b/>
          <w:bCs/>
          <w:sz w:val="22"/>
          <w:szCs w:val="22"/>
          <w:lang w:val="pt-PT"/>
        </w:rPr>
      </w:pPr>
      <w:r w:rsidRPr="001B038A">
        <w:rPr>
          <w:rFonts w:ascii="Calibri" w:hAnsi="Calibri" w:cs="Calibri"/>
          <w:b/>
          <w:bCs/>
          <w:sz w:val="22"/>
          <w:szCs w:val="22"/>
          <w:lang w:val="pt-PT"/>
        </w:rPr>
        <w:t>References</w:t>
      </w:r>
    </w:p>
    <w:p w14:paraId="62B50A6E" w14:textId="77777777" w:rsidR="001C2B5E" w:rsidRPr="001B038A" w:rsidRDefault="001C2B5E" w:rsidP="001C2B5E">
      <w:pPr>
        <w:rPr>
          <w:rFonts w:ascii="Calibri" w:hAnsi="Calibri" w:cs="Calibri"/>
          <w:spacing w:val="2"/>
          <w:sz w:val="22"/>
          <w:szCs w:val="22"/>
          <w:shd w:val="clear" w:color="auto" w:fill="FFFFFF"/>
          <w:lang w:val="pt-PT"/>
        </w:rPr>
      </w:pPr>
      <w:r w:rsidRPr="001B038A">
        <w:rPr>
          <w:rFonts w:ascii="Calibri" w:hAnsi="Calibri" w:cs="Calibri"/>
          <w:spacing w:val="2"/>
          <w:sz w:val="22"/>
          <w:szCs w:val="22"/>
          <w:shd w:val="clear" w:color="auto" w:fill="FFFFFF"/>
          <w:lang w:val="pt-PT"/>
        </w:rPr>
        <w:t xml:space="preserve">[1] R. Duval, C. Duplais, </w:t>
      </w:r>
      <w:r w:rsidRPr="001B038A">
        <w:rPr>
          <w:rFonts w:ascii="Calibri" w:hAnsi="Calibri" w:cs="Calibri"/>
          <w:i/>
          <w:iCs/>
          <w:spacing w:val="2"/>
          <w:sz w:val="22"/>
          <w:szCs w:val="22"/>
          <w:shd w:val="clear" w:color="auto" w:fill="FFFFFF"/>
          <w:lang w:val="pt-PT"/>
        </w:rPr>
        <w:t xml:space="preserve">Nat. </w:t>
      </w:r>
      <w:r w:rsidRPr="00D65B52">
        <w:rPr>
          <w:rFonts w:ascii="Calibri" w:hAnsi="Calibri" w:cs="Calibri"/>
          <w:i/>
          <w:iCs/>
          <w:spacing w:val="2"/>
          <w:sz w:val="22"/>
          <w:szCs w:val="22"/>
          <w:shd w:val="clear" w:color="auto" w:fill="FFFFFF"/>
          <w:lang w:val="pt-PT"/>
        </w:rPr>
        <w:t xml:space="preserve">Prod. </w:t>
      </w:r>
      <w:r w:rsidRPr="001B038A">
        <w:rPr>
          <w:rFonts w:ascii="Calibri" w:hAnsi="Calibri" w:cs="Calibri"/>
          <w:i/>
          <w:iCs/>
          <w:spacing w:val="2"/>
          <w:sz w:val="22"/>
          <w:szCs w:val="22"/>
          <w:shd w:val="clear" w:color="auto" w:fill="FFFFFF"/>
          <w:lang w:val="pt-PT"/>
        </w:rPr>
        <w:t>Rep</w:t>
      </w:r>
      <w:r w:rsidRPr="001B038A">
        <w:rPr>
          <w:rFonts w:ascii="Calibri" w:hAnsi="Calibri" w:cs="Calibri"/>
          <w:spacing w:val="2"/>
          <w:sz w:val="22"/>
          <w:szCs w:val="22"/>
          <w:shd w:val="clear" w:color="auto" w:fill="FFFFFF"/>
          <w:lang w:val="pt-PT"/>
        </w:rPr>
        <w:t>., 2017, 34, 161. doi: 10.1039/c6np00111d</w:t>
      </w:r>
    </w:p>
    <w:p w14:paraId="565E0A4E" w14:textId="77777777" w:rsidR="001C2B5E" w:rsidRPr="001B038A" w:rsidRDefault="001C2B5E" w:rsidP="001C2B5E">
      <w:pPr>
        <w:rPr>
          <w:rFonts w:ascii="Calibri" w:hAnsi="Calibri" w:cs="Calibri"/>
          <w:spacing w:val="2"/>
          <w:sz w:val="22"/>
          <w:szCs w:val="22"/>
          <w:shd w:val="clear" w:color="auto" w:fill="FFFFFF"/>
          <w:lang w:val="pt-PT"/>
        </w:rPr>
      </w:pPr>
      <w:r w:rsidRPr="001B038A">
        <w:rPr>
          <w:rFonts w:ascii="Calibri" w:hAnsi="Calibri" w:cs="Calibri"/>
          <w:spacing w:val="2"/>
          <w:sz w:val="22"/>
          <w:szCs w:val="22"/>
          <w:shd w:val="clear" w:color="auto" w:fill="FFFFFF"/>
          <w:lang w:val="pt-PT"/>
        </w:rPr>
        <w:t xml:space="preserve">[2] A. P. de Silva, </w:t>
      </w:r>
      <w:r w:rsidRPr="001B038A">
        <w:rPr>
          <w:rFonts w:ascii="Calibri" w:hAnsi="Calibri" w:cs="Calibri"/>
          <w:i/>
          <w:iCs/>
          <w:spacing w:val="2"/>
          <w:sz w:val="22"/>
          <w:szCs w:val="22"/>
          <w:shd w:val="clear" w:color="auto" w:fill="FFFFFF"/>
          <w:lang w:val="pt-PT"/>
        </w:rPr>
        <w:t>Molecular Logic-based Computation</w:t>
      </w:r>
      <w:r w:rsidRPr="001B038A">
        <w:rPr>
          <w:rFonts w:ascii="Calibri" w:hAnsi="Calibri" w:cs="Calibri"/>
          <w:spacing w:val="2"/>
          <w:sz w:val="22"/>
          <w:szCs w:val="22"/>
          <w:shd w:val="clear" w:color="auto" w:fill="FFFFFF"/>
          <w:lang w:val="pt-PT"/>
        </w:rPr>
        <w:t>, RSC, Cambridge, UK, 2013.</w:t>
      </w:r>
    </w:p>
    <w:p w14:paraId="70BE4533" w14:textId="77777777" w:rsidR="001C2B5E" w:rsidRPr="001B038A" w:rsidRDefault="001C2B5E" w:rsidP="001C2B5E">
      <w:pPr>
        <w:rPr>
          <w:rFonts w:ascii="Calibri" w:hAnsi="Calibri" w:cs="Calibri"/>
          <w:spacing w:val="2"/>
          <w:sz w:val="22"/>
          <w:szCs w:val="22"/>
          <w:shd w:val="clear" w:color="auto" w:fill="FFFFFF"/>
          <w:lang w:val="pt-PT"/>
        </w:rPr>
      </w:pPr>
      <w:r w:rsidRPr="001B038A">
        <w:rPr>
          <w:rFonts w:ascii="Calibri" w:hAnsi="Calibri" w:cs="Calibri"/>
          <w:spacing w:val="2"/>
          <w:sz w:val="22"/>
          <w:szCs w:val="22"/>
          <w:shd w:val="clear" w:color="auto" w:fill="FFFFFF"/>
          <w:lang w:val="pt-PT"/>
        </w:rPr>
        <w:t xml:space="preserve">[3] A. P. de Silva et al., </w:t>
      </w:r>
      <w:r w:rsidRPr="001B038A">
        <w:rPr>
          <w:rFonts w:ascii="Calibri" w:hAnsi="Calibri" w:cs="Calibri"/>
          <w:i/>
          <w:iCs/>
          <w:spacing w:val="2"/>
          <w:sz w:val="22"/>
          <w:szCs w:val="22"/>
          <w:shd w:val="clear" w:color="auto" w:fill="FFFFFF"/>
          <w:lang w:val="pt-PT"/>
        </w:rPr>
        <w:t>Nature</w:t>
      </w:r>
      <w:r w:rsidRPr="001B038A">
        <w:rPr>
          <w:rFonts w:ascii="Calibri" w:hAnsi="Calibri" w:cs="Calibri"/>
          <w:spacing w:val="2"/>
          <w:sz w:val="22"/>
          <w:szCs w:val="22"/>
          <w:shd w:val="clear" w:color="auto" w:fill="FFFFFF"/>
          <w:lang w:val="pt-PT"/>
        </w:rPr>
        <w:t>, 1993, 364, 42. doi.org/10.1038/364042a0</w:t>
      </w:r>
    </w:p>
    <w:p w14:paraId="4E71A0D3" w14:textId="77777777" w:rsidR="001C2B5E" w:rsidRPr="008C6A68" w:rsidRDefault="001C2B5E" w:rsidP="001C2B5E">
      <w:pPr>
        <w:rPr>
          <w:rFonts w:ascii="Calibri" w:hAnsi="Calibri" w:cs="Calibri"/>
          <w:spacing w:val="2"/>
          <w:sz w:val="22"/>
          <w:szCs w:val="22"/>
          <w:shd w:val="clear" w:color="auto" w:fill="FFFFFF"/>
        </w:rPr>
      </w:pPr>
      <w:r w:rsidRPr="008C6A68">
        <w:rPr>
          <w:rFonts w:ascii="Calibri" w:hAnsi="Calibri" w:cs="Calibri"/>
          <w:spacing w:val="2"/>
          <w:sz w:val="22"/>
          <w:szCs w:val="22"/>
          <w:shd w:val="clear" w:color="auto" w:fill="FFFFFF"/>
        </w:rPr>
        <w:t>[4] G. Boole, An Investigation of the Laws of Thought, on Which are Founded the Mathematical Theories of Logic and Probabilities, Walton &amp; Maberly, London, 1854.</w:t>
      </w:r>
    </w:p>
    <w:p w14:paraId="78339CAF" w14:textId="77777777" w:rsidR="001C2B5E" w:rsidRPr="001B038A" w:rsidRDefault="001C2B5E" w:rsidP="001C2B5E">
      <w:pPr>
        <w:rPr>
          <w:rFonts w:ascii="Calibri" w:hAnsi="Calibri" w:cs="Calibri"/>
          <w:spacing w:val="2"/>
          <w:sz w:val="22"/>
          <w:szCs w:val="22"/>
          <w:shd w:val="clear" w:color="auto" w:fill="FFFFFF"/>
          <w:lang w:val="pt-PT"/>
        </w:rPr>
      </w:pPr>
      <w:r w:rsidRPr="008C6A68">
        <w:rPr>
          <w:rFonts w:ascii="Calibri" w:hAnsi="Calibri" w:cs="Calibri"/>
          <w:spacing w:val="2"/>
          <w:sz w:val="22"/>
          <w:szCs w:val="22"/>
          <w:shd w:val="clear" w:color="auto" w:fill="FFFFFF"/>
        </w:rPr>
        <w:t>[5]</w:t>
      </w:r>
      <w:r>
        <w:rPr>
          <w:rFonts w:ascii="Calibri" w:hAnsi="Calibri" w:cs="Calibri"/>
          <w:spacing w:val="2"/>
          <w:sz w:val="22"/>
          <w:szCs w:val="22"/>
          <w:shd w:val="clear" w:color="auto" w:fill="FFFFFF"/>
        </w:rPr>
        <w:t xml:space="preserve"> </w:t>
      </w:r>
      <w:r w:rsidRPr="008C6A68">
        <w:rPr>
          <w:rFonts w:ascii="Calibri" w:hAnsi="Calibri" w:cs="Calibri"/>
          <w:spacing w:val="2"/>
          <w:sz w:val="22"/>
          <w:szCs w:val="22"/>
          <w:shd w:val="clear" w:color="auto" w:fill="FFFFFF"/>
        </w:rPr>
        <w:t xml:space="preserve">R. A. Bissell et al., </w:t>
      </w:r>
      <w:r w:rsidRPr="008C6A68">
        <w:rPr>
          <w:rFonts w:ascii="Calibri" w:hAnsi="Calibri" w:cs="Calibri"/>
          <w:i/>
          <w:iCs/>
          <w:spacing w:val="2"/>
          <w:sz w:val="22"/>
          <w:szCs w:val="22"/>
          <w:shd w:val="clear" w:color="auto" w:fill="FFFFFF"/>
        </w:rPr>
        <w:t xml:space="preserve">J. Chem. Soc., Perkin Trans. </w:t>
      </w:r>
      <w:r w:rsidRPr="001B038A">
        <w:rPr>
          <w:rFonts w:ascii="Calibri" w:hAnsi="Calibri" w:cs="Calibri"/>
          <w:i/>
          <w:iCs/>
          <w:spacing w:val="2"/>
          <w:sz w:val="22"/>
          <w:szCs w:val="22"/>
          <w:shd w:val="clear" w:color="auto" w:fill="FFFFFF"/>
          <w:lang w:val="pt-PT"/>
        </w:rPr>
        <w:t>2</w:t>
      </w:r>
      <w:r w:rsidRPr="001B038A">
        <w:rPr>
          <w:rFonts w:ascii="Calibri" w:hAnsi="Calibri" w:cs="Calibri"/>
          <w:spacing w:val="2"/>
          <w:sz w:val="22"/>
          <w:szCs w:val="22"/>
          <w:shd w:val="clear" w:color="auto" w:fill="FFFFFF"/>
          <w:lang w:val="pt-PT"/>
        </w:rPr>
        <w:t xml:space="preserve">, 1992, 1559. </w:t>
      </w:r>
      <w:r w:rsidRPr="001B038A">
        <w:rPr>
          <w:rFonts w:ascii="Calibri" w:hAnsi="Calibri" w:cs="Calibri"/>
          <w:spacing w:val="2"/>
          <w:sz w:val="20"/>
          <w:szCs w:val="20"/>
          <w:shd w:val="clear" w:color="auto" w:fill="FFFFFF"/>
          <w:lang w:val="pt-PT"/>
        </w:rPr>
        <w:t>doi.org/10.1039/P29920001559</w:t>
      </w:r>
    </w:p>
    <w:p w14:paraId="6F0EE433" w14:textId="77777777" w:rsidR="001C2B5E" w:rsidRPr="001A4D47" w:rsidRDefault="001C2B5E" w:rsidP="001C2B5E">
      <w:pPr>
        <w:rPr>
          <w:rFonts w:ascii="Calibri" w:hAnsi="Calibri" w:cs="Calibri"/>
          <w:spacing w:val="2"/>
          <w:sz w:val="20"/>
          <w:szCs w:val="20"/>
          <w:shd w:val="clear" w:color="auto" w:fill="FFFFFF"/>
        </w:rPr>
      </w:pPr>
      <w:r w:rsidRPr="001B038A">
        <w:rPr>
          <w:rFonts w:ascii="Calibri" w:hAnsi="Calibri" w:cs="Calibri"/>
          <w:spacing w:val="2"/>
          <w:sz w:val="22"/>
          <w:szCs w:val="22"/>
          <w:shd w:val="clear" w:color="auto" w:fill="FFFFFF"/>
          <w:lang w:val="pt-PT"/>
        </w:rPr>
        <w:t xml:space="preserve">[6] N. Agius, D. C. Magri, </w:t>
      </w:r>
      <w:r w:rsidRPr="001B038A">
        <w:rPr>
          <w:rFonts w:ascii="Calibri" w:hAnsi="Calibri" w:cs="Calibri"/>
          <w:i/>
          <w:iCs/>
          <w:spacing w:val="2"/>
          <w:sz w:val="22"/>
          <w:szCs w:val="22"/>
          <w:shd w:val="clear" w:color="auto" w:fill="FFFFFF"/>
          <w:lang w:val="pt-PT"/>
        </w:rPr>
        <w:t xml:space="preserve">Nat. </w:t>
      </w:r>
      <w:r w:rsidRPr="001A4D47">
        <w:rPr>
          <w:rFonts w:ascii="Calibri" w:hAnsi="Calibri" w:cs="Calibri"/>
          <w:i/>
          <w:iCs/>
          <w:spacing w:val="2"/>
          <w:sz w:val="22"/>
          <w:szCs w:val="22"/>
          <w:shd w:val="clear" w:color="auto" w:fill="FFFFFF"/>
        </w:rPr>
        <w:t>Prod. Commun</w:t>
      </w:r>
      <w:r w:rsidRPr="008C6A68">
        <w:rPr>
          <w:rFonts w:ascii="Calibri" w:hAnsi="Calibri" w:cs="Calibri"/>
          <w:spacing w:val="2"/>
          <w:sz w:val="22"/>
          <w:szCs w:val="22"/>
          <w:shd w:val="clear" w:color="auto" w:fill="FFFFFF"/>
        </w:rPr>
        <w:t xml:space="preserve">., 2024, </w:t>
      </w:r>
      <w:r>
        <w:rPr>
          <w:rFonts w:ascii="Calibri" w:hAnsi="Calibri" w:cs="Calibri"/>
          <w:spacing w:val="2"/>
          <w:sz w:val="22"/>
          <w:szCs w:val="22"/>
          <w:shd w:val="clear" w:color="auto" w:fill="FFFFFF"/>
        </w:rPr>
        <w:t xml:space="preserve">19, 1. </w:t>
      </w:r>
      <w:r w:rsidRPr="001A4D47">
        <w:rPr>
          <w:rFonts w:ascii="Calibri" w:hAnsi="Calibri" w:cs="Calibri"/>
          <w:spacing w:val="2"/>
          <w:sz w:val="20"/>
          <w:szCs w:val="20"/>
          <w:shd w:val="clear" w:color="auto" w:fill="FFFFFF"/>
        </w:rPr>
        <w:t>DOI: 10.1177/1934578X241262897</w:t>
      </w:r>
    </w:p>
    <w:p w14:paraId="295577D5" w14:textId="77777777" w:rsidR="001C2B5E" w:rsidRPr="008C6A68" w:rsidRDefault="001C2B5E" w:rsidP="001C2B5E">
      <w:pPr>
        <w:rPr>
          <w:rFonts w:ascii="Calibri" w:hAnsi="Calibri" w:cs="Calibri"/>
          <w:spacing w:val="2"/>
          <w:sz w:val="22"/>
          <w:szCs w:val="22"/>
          <w:shd w:val="clear" w:color="auto" w:fill="FFFFFF"/>
        </w:rPr>
      </w:pPr>
      <w:r w:rsidRPr="008C6A68">
        <w:rPr>
          <w:rFonts w:ascii="Calibri" w:hAnsi="Calibri" w:cs="Calibri"/>
          <w:spacing w:val="2"/>
          <w:sz w:val="22"/>
          <w:szCs w:val="22"/>
          <w:shd w:val="clear" w:color="auto" w:fill="FFFFFF"/>
        </w:rPr>
        <w:t>[7]</w:t>
      </w:r>
      <w:r>
        <w:rPr>
          <w:rFonts w:ascii="Calibri" w:hAnsi="Calibri" w:cs="Calibri"/>
          <w:spacing w:val="2"/>
          <w:sz w:val="22"/>
          <w:szCs w:val="22"/>
          <w:shd w:val="clear" w:color="auto" w:fill="FFFFFF"/>
        </w:rPr>
        <w:t xml:space="preserve"> </w:t>
      </w:r>
      <w:r w:rsidRPr="008C6A68">
        <w:rPr>
          <w:rFonts w:ascii="Calibri" w:hAnsi="Calibri" w:cs="Calibri"/>
          <w:spacing w:val="2"/>
          <w:sz w:val="22"/>
          <w:szCs w:val="22"/>
          <w:shd w:val="clear" w:color="auto" w:fill="FFFFFF"/>
        </w:rPr>
        <w:t>N. Agius</w:t>
      </w:r>
      <w:r>
        <w:rPr>
          <w:rFonts w:ascii="Calibri" w:hAnsi="Calibri" w:cs="Calibri"/>
          <w:spacing w:val="2"/>
          <w:sz w:val="22"/>
          <w:szCs w:val="22"/>
          <w:shd w:val="clear" w:color="auto" w:fill="FFFFFF"/>
        </w:rPr>
        <w:t xml:space="preserve">, </w:t>
      </w:r>
      <w:r w:rsidRPr="008C6A68">
        <w:rPr>
          <w:rFonts w:ascii="Calibri" w:hAnsi="Calibri" w:cs="Calibri"/>
          <w:spacing w:val="2"/>
          <w:sz w:val="22"/>
          <w:szCs w:val="22"/>
          <w:shd w:val="clear" w:color="auto" w:fill="FFFFFF"/>
        </w:rPr>
        <w:t xml:space="preserve">D. C. Magri, </w:t>
      </w:r>
      <w:r w:rsidRPr="001A4D47">
        <w:rPr>
          <w:rFonts w:ascii="Calibri" w:hAnsi="Calibri" w:cs="Calibri"/>
          <w:i/>
          <w:iCs/>
          <w:spacing w:val="2"/>
          <w:sz w:val="22"/>
          <w:szCs w:val="22"/>
          <w:shd w:val="clear" w:color="auto" w:fill="FFFFFF"/>
        </w:rPr>
        <w:t>New J. Chem</w:t>
      </w:r>
      <w:r w:rsidRPr="008C6A68">
        <w:rPr>
          <w:rFonts w:ascii="Calibri" w:hAnsi="Calibri" w:cs="Calibri"/>
          <w:spacing w:val="2"/>
          <w:sz w:val="22"/>
          <w:szCs w:val="22"/>
          <w:shd w:val="clear" w:color="auto" w:fill="FFFFFF"/>
        </w:rPr>
        <w:t>., 2021, 45, 14360. doi: 10.1039/d1nj03045k</w:t>
      </w:r>
    </w:p>
    <w:p w14:paraId="4EE2F13B" w14:textId="77777777" w:rsidR="001C2B5E" w:rsidRPr="001B038A" w:rsidRDefault="001C2B5E" w:rsidP="001C2B5E">
      <w:pPr>
        <w:rPr>
          <w:rFonts w:ascii="Calibri" w:hAnsi="Calibri" w:cs="Calibri"/>
          <w:spacing w:val="2"/>
          <w:sz w:val="22"/>
          <w:szCs w:val="22"/>
          <w:shd w:val="clear" w:color="auto" w:fill="FFFFFF"/>
          <w:lang w:val="pt-PT"/>
        </w:rPr>
      </w:pPr>
      <w:r w:rsidRPr="001B038A">
        <w:rPr>
          <w:rFonts w:ascii="Calibri" w:hAnsi="Calibri" w:cs="Calibri"/>
          <w:spacing w:val="2"/>
          <w:sz w:val="22"/>
          <w:szCs w:val="22"/>
          <w:shd w:val="clear" w:color="auto" w:fill="FFFFFF"/>
          <w:lang w:val="pt-PT"/>
        </w:rPr>
        <w:t xml:space="preserve">[8] N. Agius, D. C. Magri, </w:t>
      </w:r>
      <w:r w:rsidRPr="001B038A">
        <w:rPr>
          <w:rFonts w:ascii="Calibri" w:hAnsi="Calibri" w:cs="Calibri"/>
          <w:i/>
          <w:iCs/>
          <w:spacing w:val="2"/>
          <w:sz w:val="22"/>
          <w:szCs w:val="22"/>
          <w:shd w:val="clear" w:color="auto" w:fill="FFFFFF"/>
          <w:lang w:val="pt-PT"/>
        </w:rPr>
        <w:t>RSC Adv</w:t>
      </w:r>
      <w:r w:rsidRPr="001B038A">
        <w:rPr>
          <w:rFonts w:ascii="Calibri" w:hAnsi="Calibri" w:cs="Calibri"/>
          <w:spacing w:val="2"/>
          <w:sz w:val="22"/>
          <w:szCs w:val="22"/>
          <w:shd w:val="clear" w:color="auto" w:fill="FFFFFF"/>
          <w:lang w:val="pt-PT"/>
        </w:rPr>
        <w:t>., 2023, 13, 13505. doi: 10.1039/d3ra02704j</w:t>
      </w:r>
    </w:p>
    <w:p w14:paraId="734D4FE1" w14:textId="77777777" w:rsidR="001C2B5E" w:rsidRPr="001B038A" w:rsidRDefault="001C2B5E" w:rsidP="001C2B5E">
      <w:pPr>
        <w:rPr>
          <w:rFonts w:ascii="Calibri" w:hAnsi="Calibri" w:cs="Calibri"/>
          <w:spacing w:val="2"/>
          <w:sz w:val="22"/>
          <w:szCs w:val="22"/>
          <w:shd w:val="clear" w:color="auto" w:fill="FFFFFF"/>
          <w:lang w:val="pt-PT"/>
        </w:rPr>
      </w:pPr>
    </w:p>
    <w:p w14:paraId="77FE56B5" w14:textId="77777777" w:rsidR="001C2B5E" w:rsidRDefault="001C2B5E" w:rsidP="001C2B5E">
      <w:pPr>
        <w:rPr>
          <w:rFonts w:ascii="Calibri" w:hAnsi="Calibri" w:cs="Calibri"/>
          <w:b/>
          <w:bCs/>
          <w:spacing w:val="2"/>
          <w:sz w:val="22"/>
          <w:szCs w:val="22"/>
          <w:shd w:val="clear" w:color="auto" w:fill="FFFFFF"/>
        </w:rPr>
      </w:pPr>
      <w:r>
        <w:rPr>
          <w:rFonts w:ascii="Calibri" w:hAnsi="Calibri" w:cs="Calibri"/>
          <w:b/>
          <w:bCs/>
          <w:spacing w:val="2"/>
          <w:sz w:val="22"/>
          <w:szCs w:val="22"/>
          <w:shd w:val="clear" w:color="auto" w:fill="FFFFFF"/>
        </w:rPr>
        <w:lastRenderedPageBreak/>
        <w:t>Acknowledgment</w:t>
      </w:r>
    </w:p>
    <w:p w14:paraId="446E5894" w14:textId="60066BD0" w:rsidR="000D694E" w:rsidRPr="000D694E" w:rsidRDefault="001C2B5E" w:rsidP="000D694E">
      <w:pPr>
        <w:spacing w:line="360" w:lineRule="auto"/>
        <w:jc w:val="center"/>
        <w:rPr>
          <w:rFonts w:ascii="Calibri" w:hAnsi="Calibri" w:cs="Calibri"/>
          <w:b/>
          <w:color w:val="006699"/>
          <w:lang w:val="en-GB"/>
        </w:rPr>
      </w:pPr>
      <w:r w:rsidRPr="001A4D47">
        <w:rPr>
          <w:rFonts w:ascii="Calibri" w:hAnsi="Calibri" w:cs="Calibri"/>
          <w:spacing w:val="2"/>
          <w:sz w:val="22"/>
          <w:szCs w:val="22"/>
          <w:shd w:val="clear" w:color="auto" w:fill="FFFFFF"/>
        </w:rPr>
        <w:t xml:space="preserve">The Authors acknowledge Xjenza Malta </w:t>
      </w:r>
      <w:r w:rsidRPr="001A4D47">
        <w:rPr>
          <w:rFonts w:ascii="Calibri" w:hAnsi="Calibri" w:cs="Calibri"/>
          <w:sz w:val="22"/>
          <w:szCs w:val="22"/>
        </w:rPr>
        <w:t xml:space="preserve">for the financial support, grant no. </w:t>
      </w:r>
      <w:r w:rsidRPr="001A4D47">
        <w:rPr>
          <w:rFonts w:ascii="Calibri" w:hAnsi="Calibri" w:cs="Calibri"/>
          <w:bCs/>
          <w:sz w:val="22"/>
          <w:szCs w:val="22"/>
        </w:rPr>
        <w:t>REP-2023-023.</w:t>
      </w:r>
      <w:r w:rsidR="00305D2A">
        <w:rPr>
          <w:rFonts w:ascii="Calibri" w:hAnsi="Calibri" w:cs="Calibri"/>
          <w:b/>
          <w:bCs/>
          <w:color w:val="006699"/>
          <w:lang w:val="en-GB"/>
        </w:rPr>
        <w:br w:type="page"/>
      </w:r>
      <w:r w:rsidR="000D694E" w:rsidRPr="000D694E">
        <w:rPr>
          <w:rFonts w:ascii="Calibri" w:hAnsi="Calibri" w:cs="Calibri"/>
          <w:b/>
          <w:color w:val="006699"/>
          <w:lang w:val="en-GB"/>
        </w:rPr>
        <w:lastRenderedPageBreak/>
        <w:t xml:space="preserve">High Throughput screening deselection of </w:t>
      </w:r>
      <w:r w:rsidR="000D694E" w:rsidRPr="000D694E">
        <w:rPr>
          <w:rFonts w:ascii="Calibri" w:hAnsi="Calibri" w:cs="Calibri"/>
          <w:b/>
          <w:i/>
          <w:iCs/>
          <w:color w:val="006699"/>
          <w:lang w:val="en-GB"/>
        </w:rPr>
        <w:t>Leishmania infantum</w:t>
      </w:r>
      <w:r w:rsidR="000D694E" w:rsidRPr="000D694E">
        <w:rPr>
          <w:rFonts w:ascii="Calibri" w:hAnsi="Calibri" w:cs="Calibri"/>
          <w:b/>
          <w:color w:val="006699"/>
          <w:lang w:val="en-GB"/>
        </w:rPr>
        <w:t xml:space="preserve"> dihydrofolate reductase for highly selective pteridine reductase inhibitors</w:t>
      </w:r>
    </w:p>
    <w:p w14:paraId="58490E70" w14:textId="77777777" w:rsidR="000D694E" w:rsidRPr="000D694E" w:rsidRDefault="000D694E" w:rsidP="000D694E">
      <w:pPr>
        <w:ind w:right="136"/>
        <w:jc w:val="center"/>
        <w:rPr>
          <w:rFonts w:ascii="Calibri" w:hAnsi="Calibri" w:cs="Calibri"/>
          <w:vertAlign w:val="superscript"/>
          <w:lang w:val="pt-PT"/>
        </w:rPr>
      </w:pPr>
      <w:r w:rsidRPr="000D694E">
        <w:rPr>
          <w:rFonts w:ascii="Calibri" w:hAnsi="Calibri" w:cs="Calibri"/>
          <w:lang w:val="pt-PT"/>
        </w:rPr>
        <w:t>S. Gul</w:t>
      </w:r>
      <w:r w:rsidRPr="000D694E">
        <w:rPr>
          <w:rFonts w:ascii="Calibri" w:hAnsi="Calibri" w:cs="Calibri"/>
          <w:vertAlign w:val="superscript"/>
          <w:lang w:val="pt-PT"/>
        </w:rPr>
        <w:t>a</w:t>
      </w:r>
      <w:r w:rsidRPr="000D694E">
        <w:rPr>
          <w:rFonts w:ascii="Calibri" w:hAnsi="Calibri" w:cs="Calibri"/>
          <w:lang w:val="pt-PT"/>
        </w:rPr>
        <w:t>, A. Cordeiro</w:t>
      </w:r>
      <w:r w:rsidRPr="000D694E">
        <w:rPr>
          <w:rFonts w:ascii="Calibri" w:hAnsi="Calibri" w:cs="Calibri"/>
          <w:vertAlign w:val="superscript"/>
          <w:lang w:val="pt-PT"/>
        </w:rPr>
        <w:t>b</w:t>
      </w:r>
      <w:r w:rsidRPr="000D694E">
        <w:rPr>
          <w:rFonts w:ascii="Calibri" w:hAnsi="Calibri" w:cs="Calibri"/>
          <w:lang w:val="pt-PT"/>
        </w:rPr>
        <w:t>,</w:t>
      </w:r>
      <w:r w:rsidRPr="000D694E">
        <w:rPr>
          <w:rFonts w:ascii="Calibri" w:hAnsi="Calibri" w:cs="Calibri"/>
          <w:u w:val="single"/>
          <w:lang w:val="pt-PT"/>
        </w:rPr>
        <w:t xml:space="preserve"> </w:t>
      </w:r>
      <w:r w:rsidRPr="000D694E">
        <w:rPr>
          <w:rFonts w:ascii="Calibri" w:hAnsi="Calibri" w:cs="Calibri"/>
          <w:lang w:val="pt-PT"/>
        </w:rPr>
        <w:t>C. Pozzi</w:t>
      </w:r>
      <w:r w:rsidRPr="000D694E">
        <w:rPr>
          <w:rFonts w:ascii="Calibri" w:hAnsi="Calibri" w:cs="Calibri"/>
          <w:vertAlign w:val="superscript"/>
          <w:lang w:val="pt-PT"/>
        </w:rPr>
        <w:t>c</w:t>
      </w:r>
      <w:r w:rsidRPr="000D694E">
        <w:rPr>
          <w:rFonts w:ascii="Calibri" w:hAnsi="Calibri" w:cs="Calibri"/>
          <w:lang w:val="pt-PT"/>
        </w:rPr>
        <w:t>, N.Santarem</w:t>
      </w:r>
      <w:r w:rsidRPr="000D694E">
        <w:rPr>
          <w:rFonts w:ascii="Calibri" w:hAnsi="Calibri" w:cs="Calibri"/>
          <w:vertAlign w:val="superscript"/>
          <w:lang w:val="pt-PT"/>
        </w:rPr>
        <w:t>b</w:t>
      </w:r>
      <w:r w:rsidRPr="000D694E">
        <w:rPr>
          <w:rFonts w:ascii="Calibri" w:hAnsi="Calibri" w:cs="Calibri"/>
          <w:lang w:val="pt-PT"/>
        </w:rPr>
        <w:t xml:space="preserve">, </w:t>
      </w:r>
      <w:r w:rsidRPr="000D694E">
        <w:rPr>
          <w:rFonts w:ascii="Calibri" w:hAnsi="Calibri" w:cs="Calibri"/>
          <w:u w:val="single"/>
          <w:lang w:val="pt-PT"/>
        </w:rPr>
        <w:t>M.P.Costi</w:t>
      </w:r>
      <w:r w:rsidRPr="000D694E">
        <w:rPr>
          <w:rFonts w:ascii="Calibri" w:hAnsi="Calibri" w:cs="Calibri"/>
          <w:u w:val="single"/>
          <w:vertAlign w:val="superscript"/>
          <w:lang w:val="pt-PT"/>
        </w:rPr>
        <w:t>d</w:t>
      </w:r>
    </w:p>
    <w:p w14:paraId="05BBD561" w14:textId="77777777" w:rsidR="000D694E" w:rsidRPr="000D694E" w:rsidRDefault="000D694E" w:rsidP="000D694E">
      <w:pPr>
        <w:ind w:right="136"/>
        <w:jc w:val="center"/>
        <w:rPr>
          <w:rFonts w:ascii="Calibri" w:hAnsi="Calibri" w:cs="Calibri"/>
          <w:bCs/>
          <w:lang w:val="pt-PT"/>
        </w:rPr>
      </w:pPr>
    </w:p>
    <w:p w14:paraId="11F592ED" w14:textId="77777777" w:rsidR="000D694E" w:rsidRPr="00E45C3D" w:rsidRDefault="000D694E" w:rsidP="000D694E">
      <w:pPr>
        <w:jc w:val="center"/>
        <w:textAlignment w:val="top"/>
        <w:rPr>
          <w:rFonts w:ascii="Calibri" w:hAnsi="Calibri" w:cs="Calibri"/>
          <w:color w:val="000000" w:themeColor="text1"/>
          <w:sz w:val="22"/>
          <w:szCs w:val="22"/>
          <w:lang w:val="en-GB"/>
        </w:rPr>
      </w:pPr>
      <w:r w:rsidRPr="00E45C3D">
        <w:rPr>
          <w:rFonts w:ascii="Calibri" w:hAnsi="Calibri" w:cs="Calibri"/>
          <w:color w:val="000000" w:themeColor="text1"/>
          <w:sz w:val="22"/>
          <w:szCs w:val="22"/>
          <w:lang w:val="en-GB"/>
        </w:rPr>
        <w:t>Fraunhofer Institute for Translational Medicine and Pharmacology (ITMP), Schnackenburgallee 114, 22525 Hamburg, Germany</w:t>
      </w:r>
      <w:r w:rsidRPr="00E45C3D">
        <w:rPr>
          <w:rFonts w:ascii="Calibri" w:hAnsi="Calibri" w:cs="Calibri"/>
          <w:color w:val="000000" w:themeColor="text1"/>
          <w:sz w:val="22"/>
          <w:szCs w:val="22"/>
          <w:vertAlign w:val="superscript"/>
          <w:lang w:val="en-GB"/>
        </w:rPr>
        <w:t>a</w:t>
      </w:r>
      <w:r w:rsidRPr="00E45C3D">
        <w:rPr>
          <w:rFonts w:ascii="Calibri" w:hAnsi="Calibri" w:cs="Calibri"/>
          <w:color w:val="000000" w:themeColor="text1"/>
          <w:sz w:val="22"/>
          <w:szCs w:val="22"/>
          <w:lang w:val="en-GB"/>
        </w:rPr>
        <w:t>,</w:t>
      </w:r>
      <w:r w:rsidRPr="00E45C3D">
        <w:rPr>
          <w:rFonts w:ascii="Calibri" w:hAnsi="Calibri" w:cs="Calibri"/>
          <w:color w:val="000000" w:themeColor="text1"/>
          <w:sz w:val="22"/>
          <w:szCs w:val="22"/>
          <w:vertAlign w:val="superscript"/>
          <w:lang w:val="en-GB"/>
        </w:rPr>
        <w:t xml:space="preserve"> </w:t>
      </w:r>
      <w:r w:rsidRPr="00E45C3D">
        <w:rPr>
          <w:rFonts w:ascii="Calibri" w:hAnsi="Calibri" w:cs="Calibri"/>
          <w:sz w:val="22"/>
          <w:szCs w:val="22"/>
          <w:lang w:val="en-GB" w:eastAsia="it-IT"/>
        </w:rPr>
        <w:t>Host-Parasite Interactions IBMC/I3S Rua Alfredo Allen, 208 4200-135 Porto, Portugal</w:t>
      </w:r>
      <w:r w:rsidRPr="00E45C3D">
        <w:rPr>
          <w:rFonts w:ascii="Calibri" w:hAnsi="Calibri" w:cs="Calibri"/>
          <w:sz w:val="22"/>
          <w:szCs w:val="22"/>
          <w:vertAlign w:val="superscript"/>
          <w:lang w:val="en-GB" w:eastAsia="it-IT"/>
        </w:rPr>
        <w:t>b</w:t>
      </w:r>
      <w:r w:rsidRPr="00E45C3D">
        <w:rPr>
          <w:rFonts w:ascii="Calibri" w:hAnsi="Calibri" w:cs="Calibri"/>
          <w:sz w:val="22"/>
          <w:szCs w:val="22"/>
          <w:lang w:val="en-GB" w:eastAsia="it-IT"/>
        </w:rPr>
        <w:t xml:space="preserve">, </w:t>
      </w:r>
      <w:r w:rsidRPr="00E45C3D">
        <w:rPr>
          <w:rFonts w:ascii="Calibri" w:hAnsi="Calibri" w:cs="Calibri"/>
          <w:color w:val="000000" w:themeColor="text1"/>
          <w:sz w:val="22"/>
          <w:szCs w:val="22"/>
          <w:lang w:val="en-GB"/>
        </w:rPr>
        <w:t>Department of Biotechnology, Chemistry and Pharmacy, University of Siena, via Aldo Moro 2, 53100 Siena, Italy</w:t>
      </w:r>
      <w:r w:rsidRPr="00E45C3D">
        <w:rPr>
          <w:rFonts w:ascii="Calibri" w:hAnsi="Calibri" w:cs="Calibri"/>
          <w:color w:val="000000" w:themeColor="text1"/>
          <w:sz w:val="22"/>
          <w:szCs w:val="22"/>
          <w:vertAlign w:val="superscript"/>
          <w:lang w:val="en-GB"/>
        </w:rPr>
        <w:t>c</w:t>
      </w:r>
      <w:r w:rsidRPr="00E45C3D">
        <w:rPr>
          <w:rFonts w:ascii="Calibri" w:hAnsi="Calibri" w:cs="Calibri"/>
          <w:color w:val="000000" w:themeColor="text1"/>
          <w:sz w:val="22"/>
          <w:szCs w:val="22"/>
          <w:lang w:val="en-GB"/>
        </w:rPr>
        <w:t>,</w:t>
      </w:r>
      <w:r w:rsidRPr="00E45C3D">
        <w:rPr>
          <w:rFonts w:ascii="Calibri" w:hAnsi="Calibri" w:cs="Calibri"/>
          <w:color w:val="000000" w:themeColor="text1"/>
          <w:sz w:val="22"/>
          <w:szCs w:val="22"/>
          <w:vertAlign w:val="superscript"/>
          <w:lang w:val="en-GB"/>
        </w:rPr>
        <w:t xml:space="preserve"> </w:t>
      </w:r>
      <w:r w:rsidRPr="00E45C3D">
        <w:rPr>
          <w:rFonts w:ascii="Calibri" w:hAnsi="Calibri" w:cs="Calibri"/>
          <w:color w:val="000000" w:themeColor="text1"/>
          <w:sz w:val="22"/>
          <w:szCs w:val="22"/>
          <w:lang w:val="en-GB"/>
        </w:rPr>
        <w:t>Department of Life Sciences, University of Modena and Reggio Emilia, Via Campi 103, 41225-Modena</w:t>
      </w:r>
      <w:r w:rsidRPr="00E45C3D">
        <w:rPr>
          <w:rFonts w:ascii="Calibri" w:hAnsi="Calibri" w:cs="Calibri"/>
          <w:color w:val="000000" w:themeColor="text1"/>
          <w:sz w:val="22"/>
          <w:szCs w:val="22"/>
          <w:vertAlign w:val="superscript"/>
          <w:lang w:val="en-GB"/>
        </w:rPr>
        <w:t>d</w:t>
      </w:r>
    </w:p>
    <w:p w14:paraId="151259C7" w14:textId="77777777" w:rsidR="000D694E" w:rsidRPr="000D694E" w:rsidRDefault="000D694E" w:rsidP="000D694E">
      <w:pPr>
        <w:ind w:right="136"/>
        <w:jc w:val="center"/>
        <w:rPr>
          <w:rFonts w:ascii="Calibri" w:hAnsi="Calibri" w:cs="Calibri"/>
          <w:b/>
          <w:bCs/>
          <w:color w:val="000000"/>
          <w:lang w:val="en-GB"/>
        </w:rPr>
      </w:pPr>
    </w:p>
    <w:p w14:paraId="7C0AEC4C" w14:textId="77777777" w:rsidR="000D694E" w:rsidRPr="000D694E" w:rsidRDefault="000D694E" w:rsidP="000D694E">
      <w:pPr>
        <w:ind w:right="136"/>
        <w:jc w:val="center"/>
        <w:rPr>
          <w:rFonts w:ascii="Calibri" w:hAnsi="Calibri" w:cs="Arial"/>
          <w:b/>
          <w:bCs/>
          <w:color w:val="000000"/>
          <w:lang w:val="en-GB"/>
        </w:rPr>
      </w:pPr>
      <w:r w:rsidRPr="000D694E">
        <w:rPr>
          <w:rFonts w:ascii="Calibri" w:hAnsi="Calibri" w:cs="Calibri"/>
          <w:b/>
          <w:bCs/>
          <w:color w:val="000000"/>
          <w:lang w:val="en-GB"/>
        </w:rPr>
        <w:t xml:space="preserve">email presenter: </w:t>
      </w:r>
      <w:r w:rsidRPr="000D694E">
        <w:rPr>
          <w:rFonts w:ascii="Calibri" w:hAnsi="Calibri" w:cs="Arial"/>
          <w:b/>
          <w:bCs/>
          <w:color w:val="000000"/>
          <w:lang w:val="en-GB"/>
        </w:rPr>
        <w:t>mariapaola.costi@unimore.it</w:t>
      </w:r>
    </w:p>
    <w:p w14:paraId="4A182AFA" w14:textId="77777777" w:rsidR="000D694E" w:rsidRPr="000D694E" w:rsidRDefault="000D694E" w:rsidP="000D694E">
      <w:pPr>
        <w:ind w:right="136"/>
        <w:jc w:val="center"/>
        <w:rPr>
          <w:rFonts w:ascii="Calibri" w:hAnsi="Calibri" w:cs="Arial"/>
          <w:color w:val="000000"/>
          <w:lang w:val="en-GB"/>
        </w:rPr>
      </w:pPr>
    </w:p>
    <w:p w14:paraId="1C358CF8" w14:textId="77777777" w:rsidR="000D694E" w:rsidRPr="00E45C3D" w:rsidRDefault="000D694E" w:rsidP="000D694E">
      <w:pPr>
        <w:ind w:right="136"/>
        <w:jc w:val="both"/>
        <w:rPr>
          <w:rFonts w:ascii="Calibri" w:hAnsi="Calibri" w:cs="Arial"/>
          <w:color w:val="000000"/>
          <w:lang w:val="en-GB"/>
        </w:rPr>
      </w:pPr>
      <w:r w:rsidRPr="00E45C3D">
        <w:rPr>
          <w:rFonts w:ascii="Calibri" w:hAnsi="Calibri" w:cs="Arial"/>
          <w:color w:val="000000"/>
          <w:lang w:val="en-GB"/>
        </w:rPr>
        <w:t xml:space="preserve">Pteridine reductase (PTR1) is a well-known target in antiparasitic drug discovery emerged from drug resistance studies in </w:t>
      </w:r>
      <w:r w:rsidRPr="00E45C3D">
        <w:rPr>
          <w:rFonts w:ascii="Calibri" w:hAnsi="Calibri" w:cs="Arial"/>
          <w:i/>
          <w:iCs/>
          <w:color w:val="000000"/>
          <w:lang w:val="en-GB"/>
        </w:rPr>
        <w:t>Leishmania infantum</w:t>
      </w:r>
      <w:r w:rsidRPr="00E45C3D">
        <w:rPr>
          <w:rFonts w:ascii="Calibri" w:hAnsi="Calibri" w:cs="Arial"/>
          <w:color w:val="000000"/>
          <w:lang w:val="en-GB"/>
        </w:rPr>
        <w:t xml:space="preserve"> parasite [1]. As one of the important enzymes in the folate metabolic pathway, it is present only in the Trypanosmatidic parasites therefore it is considered a species-specific drug target. Medicinal chemistry approaches consider the parasitic dihydrofolate reductase (DHFR) enzyme as an optimal partner for PTR1 to achieve efficient antiparasitic activity. A combination of inhibitors targeting the two enzymes or a single inhibitor with dual inhibition activity of the same were considered as the best strategy to follow [2]. However, the mechanistic basis of the combined inhibition is still unclear because the interplay of PTR1-DHFR both of which use the same dihydrofolic acid (DHF) substrate. In order to address this, we proposed to identify PTR1 inhibitors inactive towards the parasitic DHFR to be used as a drug/probe for detailed molecular studies and/or a novel drug discovery program. To this end, a collaborative project with the European Lead Factory (ELF) supported by Innovative Medicine Initiative (IMI) was undertaken with the aim of developing </w:t>
      </w:r>
      <w:r w:rsidRPr="00E45C3D">
        <w:rPr>
          <w:rFonts w:ascii="Calibri" w:hAnsi="Calibri" w:cs="Arial"/>
          <w:i/>
          <w:iCs/>
          <w:color w:val="000000"/>
          <w:lang w:val="en-GB"/>
        </w:rPr>
        <w:t>on target</w:t>
      </w:r>
      <w:r w:rsidRPr="00E45C3D">
        <w:rPr>
          <w:rFonts w:ascii="Calibri" w:hAnsi="Calibri" w:cs="Arial"/>
          <w:color w:val="000000"/>
          <w:lang w:val="en-GB"/>
        </w:rPr>
        <w:t xml:space="preserve"> high throughput screening led discovery of low nanomolar, </w:t>
      </w:r>
      <w:r w:rsidRPr="00E45C3D">
        <w:rPr>
          <w:rFonts w:ascii="Calibri" w:hAnsi="Calibri" w:cs="Arial"/>
          <w:i/>
          <w:iCs/>
          <w:color w:val="000000"/>
          <w:lang w:val="en-GB"/>
        </w:rPr>
        <w:t>Leishmania infantum</w:t>
      </w:r>
      <w:r w:rsidRPr="00E45C3D">
        <w:rPr>
          <w:rFonts w:ascii="Calibri" w:hAnsi="Calibri" w:cs="Arial"/>
          <w:color w:val="000000"/>
          <w:lang w:val="en-GB"/>
        </w:rPr>
        <w:t xml:space="preserve"> PTR1 inhibitors with 10</w:t>
      </w:r>
      <w:r w:rsidRPr="00E45C3D">
        <w:rPr>
          <w:rFonts w:ascii="Calibri" w:hAnsi="Calibri" w:cs="Arial"/>
          <w:color w:val="000000"/>
          <w:vertAlign w:val="superscript"/>
          <w:lang w:val="en-GB"/>
        </w:rPr>
        <w:t>3</w:t>
      </w:r>
      <w:r w:rsidRPr="00E45C3D">
        <w:rPr>
          <w:rFonts w:ascii="Calibri" w:hAnsi="Calibri" w:cs="Arial"/>
          <w:color w:val="000000"/>
          <w:lang w:val="en-GB"/>
        </w:rPr>
        <w:t>-10</w:t>
      </w:r>
      <w:r w:rsidRPr="00E45C3D">
        <w:rPr>
          <w:rFonts w:ascii="Calibri" w:hAnsi="Calibri" w:cs="Arial"/>
          <w:color w:val="000000"/>
          <w:vertAlign w:val="superscript"/>
          <w:lang w:val="en-GB"/>
        </w:rPr>
        <w:t>4</w:t>
      </w:r>
      <w:r w:rsidRPr="00E45C3D">
        <w:rPr>
          <w:rFonts w:ascii="Calibri" w:hAnsi="Calibri" w:cs="Arial"/>
          <w:color w:val="000000"/>
          <w:lang w:val="en-GB"/>
        </w:rPr>
        <w:t xml:space="preserve"> selectivity index against DHFR [3]. This programme was performed following the ELF development track by including a progressive assays/molecular properties/full profile testing, validation and final re-synthesis of the selected hits. We successfully obtained compounds with the preferred profile. These are currently under evaluation for their antiparasitic activity.</w:t>
      </w:r>
    </w:p>
    <w:p w14:paraId="4D6DB8E5" w14:textId="77777777" w:rsidR="000D694E" w:rsidRPr="005C16D7" w:rsidRDefault="000D694E" w:rsidP="000D694E">
      <w:pPr>
        <w:ind w:right="136"/>
        <w:jc w:val="both"/>
        <w:rPr>
          <w:rFonts w:ascii="Calibri" w:hAnsi="Calibri" w:cs="Arial"/>
          <w:color w:val="000000"/>
          <w:sz w:val="22"/>
          <w:szCs w:val="22"/>
          <w:lang w:val="en-GB"/>
        </w:rPr>
      </w:pPr>
    </w:p>
    <w:p w14:paraId="055B08E1" w14:textId="77777777" w:rsidR="000D694E" w:rsidRPr="000D694E" w:rsidRDefault="000D694E" w:rsidP="000D694E">
      <w:pPr>
        <w:rPr>
          <w:rFonts w:asciiTheme="minorHAnsi" w:hAnsiTheme="minorHAnsi" w:cstheme="minorHAnsi"/>
          <w:b/>
          <w:bCs/>
          <w:color w:val="000000" w:themeColor="text1"/>
          <w:sz w:val="22"/>
          <w:szCs w:val="22"/>
          <w:lang w:val="en-GB"/>
        </w:rPr>
      </w:pPr>
      <w:r w:rsidRPr="000D694E">
        <w:rPr>
          <w:rFonts w:asciiTheme="minorHAnsi" w:hAnsiTheme="minorHAnsi" w:cstheme="minorHAnsi"/>
          <w:b/>
          <w:bCs/>
          <w:color w:val="000000" w:themeColor="text1"/>
          <w:sz w:val="22"/>
          <w:szCs w:val="22"/>
          <w:lang w:val="en-GB"/>
        </w:rPr>
        <w:t>References</w:t>
      </w:r>
    </w:p>
    <w:p w14:paraId="5E246583" w14:textId="77777777" w:rsidR="000D694E" w:rsidRDefault="000D694E" w:rsidP="000D694E">
      <w:pPr>
        <w:suppressAutoHyphens/>
        <w:rPr>
          <w:rFonts w:asciiTheme="minorHAnsi" w:hAnsiTheme="minorHAnsi" w:cstheme="minorHAnsi"/>
          <w:color w:val="000000" w:themeColor="text1"/>
          <w:sz w:val="22"/>
          <w:szCs w:val="22"/>
          <w:lang w:val="en-GB"/>
        </w:rPr>
      </w:pPr>
      <w:r w:rsidRPr="000D694E">
        <w:rPr>
          <w:rFonts w:asciiTheme="minorHAnsi" w:hAnsiTheme="minorHAnsi" w:cstheme="minorHAnsi"/>
          <w:color w:val="000000" w:themeColor="text1"/>
          <w:sz w:val="22"/>
          <w:szCs w:val="22"/>
          <w:shd w:val="clear" w:color="auto" w:fill="FFFFFF"/>
          <w:lang w:val="en-GB"/>
        </w:rPr>
        <w:t xml:space="preserve">[1]. </w:t>
      </w:r>
      <w:hyperlink r:id="rId11" w:history="1">
        <w:r w:rsidRPr="000D694E">
          <w:rPr>
            <w:rStyle w:val="Hyperlink"/>
            <w:rFonts w:asciiTheme="minorHAnsi" w:hAnsiTheme="minorHAnsi" w:cstheme="minorHAnsi"/>
            <w:color w:val="000000" w:themeColor="text1"/>
            <w:sz w:val="22"/>
            <w:szCs w:val="22"/>
            <w:u w:val="none"/>
            <w:lang w:val="en-GB"/>
          </w:rPr>
          <w:t>Discovery of potent pteridine reductase inhibitors to guide antiparasite drug development</w:t>
        </w:r>
      </w:hyperlink>
      <w:r w:rsidRPr="000D694E">
        <w:rPr>
          <w:rFonts w:asciiTheme="minorHAnsi" w:hAnsiTheme="minorHAnsi" w:cstheme="minorHAnsi"/>
          <w:color w:val="000000" w:themeColor="text1"/>
          <w:sz w:val="22"/>
          <w:szCs w:val="22"/>
          <w:lang w:val="en-GB"/>
        </w:rPr>
        <w:t xml:space="preserve">. A Cavazzuti et al. PNAS 2008, 1448. </w:t>
      </w:r>
    </w:p>
    <w:p w14:paraId="1070517E" w14:textId="31E5F63E" w:rsidR="000D694E" w:rsidRPr="000D694E" w:rsidRDefault="000D694E" w:rsidP="000D694E">
      <w:pPr>
        <w:suppressAutoHyphens/>
        <w:rPr>
          <w:rFonts w:asciiTheme="minorHAnsi" w:hAnsiTheme="minorHAnsi" w:cstheme="minorHAnsi"/>
          <w:color w:val="000000" w:themeColor="text1"/>
          <w:sz w:val="22"/>
          <w:szCs w:val="22"/>
          <w:lang w:val="en-GB" w:eastAsia="it-IT"/>
        </w:rPr>
      </w:pPr>
      <w:r w:rsidRPr="000D694E">
        <w:rPr>
          <w:rFonts w:asciiTheme="minorHAnsi" w:hAnsiTheme="minorHAnsi" w:cstheme="minorHAnsi"/>
          <w:sz w:val="22"/>
          <w:szCs w:val="22"/>
          <w:shd w:val="clear" w:color="auto" w:fill="FFFFFF"/>
          <w:lang w:val="en-GB"/>
        </w:rPr>
        <w:lastRenderedPageBreak/>
        <w:t xml:space="preserve">[2]. </w:t>
      </w:r>
      <w:r w:rsidRPr="000D694E">
        <w:rPr>
          <w:rFonts w:asciiTheme="minorHAnsi" w:hAnsiTheme="minorHAnsi" w:cstheme="minorHAnsi"/>
          <w:sz w:val="22"/>
          <w:szCs w:val="22"/>
          <w:lang w:val="en-GB" w:eastAsia="it-IT"/>
        </w:rPr>
        <w:t xml:space="preserve">Enhancement of Benzothiazoles as Pteridine Reductase-1 Inhibitors for the Treatment of Trypanosomatidic Infections. P. Linciano et al. Journal of Medicinal Chemistry 2019 62, 3989. </w:t>
      </w:r>
      <w:r w:rsidRPr="000D694E">
        <w:rPr>
          <w:rFonts w:asciiTheme="minorHAnsi" w:hAnsiTheme="minorHAnsi" w:cstheme="minorHAnsi"/>
          <w:sz w:val="22"/>
          <w:szCs w:val="22"/>
          <w:shd w:val="clear" w:color="auto" w:fill="FFFFFF"/>
          <w:lang w:val="en-GB"/>
        </w:rPr>
        <w:t xml:space="preserve">[3]. </w:t>
      </w:r>
      <w:r w:rsidRPr="000D694E">
        <w:rPr>
          <w:rFonts w:asciiTheme="minorHAnsi" w:hAnsiTheme="minorHAnsi" w:cstheme="minorHAnsi"/>
          <w:sz w:val="22"/>
          <w:szCs w:val="22"/>
          <w:lang w:val="en-GB" w:eastAsia="it-IT"/>
        </w:rPr>
        <w:t>The European lea</w:t>
      </w:r>
      <w:r w:rsidRPr="000D694E">
        <w:rPr>
          <w:rFonts w:asciiTheme="minorHAnsi" w:hAnsiTheme="minorHAnsi" w:cstheme="minorHAnsi"/>
          <w:color w:val="000000" w:themeColor="text1"/>
          <w:sz w:val="22"/>
          <w:szCs w:val="22"/>
          <w:lang w:val="en-GB" w:eastAsia="it-IT"/>
        </w:rPr>
        <w:t>d factory—an experiment in collaborative drug discovery Hugh Laverty et al</w:t>
      </w:r>
      <w:r w:rsidRPr="000D694E">
        <w:rPr>
          <w:rFonts w:asciiTheme="minorHAnsi" w:hAnsiTheme="minorHAnsi" w:cstheme="minorHAnsi"/>
          <w:b/>
          <w:bCs/>
          <w:color w:val="000000" w:themeColor="text1"/>
          <w:sz w:val="22"/>
          <w:szCs w:val="22"/>
          <w:lang w:val="en-GB" w:eastAsia="it-IT"/>
        </w:rPr>
        <w:t xml:space="preserve">. </w:t>
      </w:r>
      <w:r w:rsidRPr="000D694E">
        <w:rPr>
          <w:rFonts w:asciiTheme="minorHAnsi" w:hAnsiTheme="minorHAnsi" w:cstheme="minorHAnsi"/>
          <w:color w:val="000000" w:themeColor="text1"/>
          <w:sz w:val="22"/>
          <w:szCs w:val="22"/>
          <w:lang w:val="en-GB" w:eastAsia="it-IT"/>
        </w:rPr>
        <w:t xml:space="preserve"> Journal of medicines development sciences 2015, 1, 20.</w:t>
      </w:r>
    </w:p>
    <w:p w14:paraId="3FF319A1" w14:textId="77777777" w:rsidR="000D694E" w:rsidRPr="000D694E" w:rsidRDefault="000D694E" w:rsidP="000D694E">
      <w:pPr>
        <w:rPr>
          <w:rFonts w:asciiTheme="minorHAnsi" w:hAnsiTheme="minorHAnsi" w:cstheme="minorHAnsi"/>
          <w:b/>
          <w:bCs/>
          <w:color w:val="000000" w:themeColor="text1"/>
          <w:spacing w:val="2"/>
          <w:sz w:val="22"/>
          <w:szCs w:val="22"/>
          <w:shd w:val="clear" w:color="auto" w:fill="FFFFFF"/>
          <w:lang w:val="en-GB"/>
        </w:rPr>
      </w:pPr>
    </w:p>
    <w:p w14:paraId="6C2AFA92" w14:textId="77777777" w:rsidR="000D694E" w:rsidRPr="000D694E" w:rsidRDefault="000D694E" w:rsidP="000D694E">
      <w:pPr>
        <w:rPr>
          <w:rFonts w:asciiTheme="minorHAnsi" w:hAnsiTheme="minorHAnsi" w:cstheme="minorHAnsi"/>
          <w:b/>
          <w:bCs/>
          <w:color w:val="000000" w:themeColor="text1"/>
          <w:spacing w:val="2"/>
          <w:sz w:val="22"/>
          <w:szCs w:val="22"/>
          <w:shd w:val="clear" w:color="auto" w:fill="FFFFFF"/>
          <w:lang w:val="en-GB"/>
        </w:rPr>
      </w:pPr>
      <w:r w:rsidRPr="000D694E">
        <w:rPr>
          <w:rFonts w:asciiTheme="minorHAnsi" w:hAnsiTheme="minorHAnsi" w:cstheme="minorHAnsi"/>
          <w:b/>
          <w:bCs/>
          <w:color w:val="000000" w:themeColor="text1"/>
          <w:spacing w:val="2"/>
          <w:sz w:val="22"/>
          <w:szCs w:val="22"/>
          <w:shd w:val="clear" w:color="auto" w:fill="FFFFFF"/>
          <w:lang w:val="en-GB"/>
        </w:rPr>
        <w:t>Acknowledgment</w:t>
      </w:r>
    </w:p>
    <w:p w14:paraId="47DB9F03" w14:textId="77777777" w:rsidR="000D694E" w:rsidRPr="000D694E" w:rsidRDefault="000D694E" w:rsidP="000D694E">
      <w:pPr>
        <w:rPr>
          <w:rFonts w:asciiTheme="minorHAnsi" w:hAnsiTheme="minorHAnsi" w:cstheme="minorHAnsi"/>
          <w:sz w:val="22"/>
          <w:szCs w:val="22"/>
          <w:lang w:val="en-GB"/>
        </w:rPr>
      </w:pPr>
      <w:r w:rsidRPr="000D694E">
        <w:rPr>
          <w:rFonts w:asciiTheme="minorHAnsi" w:hAnsiTheme="minorHAnsi" w:cstheme="minorHAnsi"/>
          <w:color w:val="000000" w:themeColor="text1"/>
          <w:spacing w:val="2"/>
          <w:sz w:val="22"/>
          <w:szCs w:val="22"/>
          <w:shd w:val="clear" w:color="auto" w:fill="FFFFFF"/>
          <w:lang w:val="en-GB"/>
        </w:rPr>
        <w:t xml:space="preserve">The Authors acknowledge the European Lead Factory and Lygature </w:t>
      </w:r>
      <w:r w:rsidRPr="000D694E">
        <w:rPr>
          <w:rFonts w:asciiTheme="minorHAnsi" w:hAnsiTheme="minorHAnsi" w:cstheme="minorHAnsi"/>
          <w:color w:val="000000" w:themeColor="text1"/>
          <w:sz w:val="22"/>
          <w:szCs w:val="22"/>
          <w:lang w:val="en-GB"/>
        </w:rPr>
        <w:t>for the financial support of the programme. Individual ELF scientists have not been included as co-authors at this stage, but their contributions are acknowledged.</w:t>
      </w:r>
    </w:p>
    <w:p w14:paraId="4D6A849C" w14:textId="4F700630" w:rsidR="00305D2A" w:rsidRPr="00305D2A" w:rsidRDefault="00305D2A" w:rsidP="000D694E">
      <w:pPr>
        <w:rPr>
          <w:rFonts w:ascii="Calibri" w:hAnsi="Calibri" w:cs="Calibri"/>
          <w:b/>
          <w:bCs/>
          <w:color w:val="006699"/>
        </w:rPr>
      </w:pPr>
      <w:r>
        <w:rPr>
          <w:rFonts w:ascii="Calibri" w:hAnsi="Calibri" w:cs="Calibri"/>
          <w:b/>
          <w:bCs/>
          <w:color w:val="006699"/>
        </w:rPr>
        <w:br w:type="page"/>
      </w:r>
    </w:p>
    <w:p w14:paraId="017608EA" w14:textId="77777777" w:rsidR="00305D2A" w:rsidRDefault="00305D2A" w:rsidP="001C2B5E">
      <w:pPr>
        <w:spacing w:line="360" w:lineRule="auto"/>
        <w:jc w:val="center"/>
        <w:rPr>
          <w:rFonts w:ascii="Calibri" w:hAnsi="Calibri" w:cs="Calibri"/>
          <w:b/>
          <w:bCs/>
          <w:color w:val="006699"/>
          <w:lang w:val="en-GB"/>
        </w:rPr>
      </w:pPr>
    </w:p>
    <w:p w14:paraId="6DE33A1B" w14:textId="504F8697" w:rsidR="001C2B5E" w:rsidRDefault="001C2B5E" w:rsidP="001C2B5E">
      <w:pPr>
        <w:spacing w:line="360" w:lineRule="auto"/>
        <w:jc w:val="center"/>
        <w:rPr>
          <w:rFonts w:ascii="Calibri" w:hAnsi="Calibri" w:cs="Calibri"/>
          <w:b/>
          <w:color w:val="006699"/>
          <w:lang w:val="en-GB"/>
        </w:rPr>
      </w:pPr>
      <w:r w:rsidRPr="00725CD8">
        <w:rPr>
          <w:rFonts w:ascii="Calibri" w:hAnsi="Calibri" w:cs="Calibri"/>
          <w:b/>
          <w:bCs/>
          <w:color w:val="006699"/>
          <w:lang w:val="en-GB"/>
        </w:rPr>
        <w:t xml:space="preserve">Opportunities and challenges in the discovery of PROTACS for </w:t>
      </w:r>
      <w:r>
        <w:rPr>
          <w:rFonts w:ascii="Calibri" w:hAnsi="Calibri" w:cs="Calibri"/>
          <w:b/>
          <w:color w:val="006699"/>
          <w:lang w:val="en-GB"/>
        </w:rPr>
        <w:t xml:space="preserve">Vector-borne </w:t>
      </w:r>
      <w:r w:rsidRPr="00F21B74">
        <w:rPr>
          <w:rFonts w:ascii="Calibri" w:hAnsi="Calibri" w:cs="Calibri"/>
          <w:b/>
          <w:color w:val="006699"/>
          <w:lang w:val="en-GB"/>
        </w:rPr>
        <w:t>Parasitic Diseases</w:t>
      </w:r>
    </w:p>
    <w:p w14:paraId="4660F4ED" w14:textId="77777777" w:rsidR="001C2B5E" w:rsidRPr="00422B0C" w:rsidRDefault="001C2B5E" w:rsidP="001C2B5E">
      <w:pPr>
        <w:spacing w:line="360" w:lineRule="auto"/>
        <w:jc w:val="center"/>
        <w:rPr>
          <w:rFonts w:ascii="Calibri" w:hAnsi="Calibri" w:cs="Calibri"/>
          <w:lang w:val="en-GB"/>
        </w:rPr>
      </w:pPr>
      <w:r w:rsidRPr="00F21B74">
        <w:rPr>
          <w:rFonts w:ascii="Calibri" w:hAnsi="Calibri" w:cs="Calibri"/>
          <w:color w:val="000000"/>
          <w:u w:val="single"/>
          <w:lang w:val="en-GB"/>
        </w:rPr>
        <w:t>Maria Laura Bolognesi</w:t>
      </w:r>
      <w:r w:rsidRPr="00422B0C">
        <w:rPr>
          <w:rFonts w:ascii="Calibri" w:hAnsi="Calibri" w:cs="Calibri"/>
          <w:color w:val="000000"/>
          <w:vertAlign w:val="superscript"/>
          <w:lang w:val="en-GB"/>
        </w:rPr>
        <w:t>a</w:t>
      </w:r>
      <w:r w:rsidRPr="00422B0C">
        <w:rPr>
          <w:rFonts w:ascii="Calibri" w:hAnsi="Calibri" w:cs="Calibri"/>
          <w:color w:val="000000"/>
          <w:lang w:val="en-GB"/>
        </w:rPr>
        <w:t xml:space="preserve"> </w:t>
      </w:r>
    </w:p>
    <w:p w14:paraId="10A0F0A2" w14:textId="77777777" w:rsidR="001C2B5E" w:rsidRPr="00F21B74" w:rsidRDefault="001C2B5E" w:rsidP="001C2B5E">
      <w:pPr>
        <w:jc w:val="center"/>
        <w:rPr>
          <w:rFonts w:ascii="Calibri" w:hAnsi="Calibri" w:cs="Calibri"/>
          <w:color w:val="000000"/>
          <w:sz w:val="22"/>
          <w:szCs w:val="22"/>
        </w:rPr>
      </w:pPr>
      <w:r w:rsidRPr="00F42B7C">
        <w:rPr>
          <w:rFonts w:ascii="Calibri" w:hAnsi="Calibri" w:cs="Calibri"/>
          <w:color w:val="000000"/>
          <w:vertAlign w:val="superscript"/>
          <w:lang w:val="en-GB"/>
        </w:rPr>
        <w:t xml:space="preserve">a </w:t>
      </w:r>
      <w:r w:rsidRPr="00F21B74">
        <w:rPr>
          <w:rFonts w:ascii="Calibri" w:hAnsi="Calibri" w:cs="Calibri"/>
          <w:color w:val="000000"/>
          <w:sz w:val="22"/>
          <w:szCs w:val="22"/>
        </w:rPr>
        <w:t xml:space="preserve">Department of Pharmacy and Biotechnology, University of Bologna </w:t>
      </w:r>
    </w:p>
    <w:p w14:paraId="093C23BD" w14:textId="77777777" w:rsidR="001C2B5E" w:rsidRPr="001B038A" w:rsidRDefault="001C2B5E" w:rsidP="001C2B5E">
      <w:pPr>
        <w:jc w:val="center"/>
        <w:rPr>
          <w:rFonts w:ascii="Calibri" w:hAnsi="Calibri" w:cs="Calibri"/>
          <w:color w:val="000000"/>
          <w:lang w:val="pt-PT"/>
        </w:rPr>
      </w:pPr>
      <w:r w:rsidRPr="001B038A">
        <w:rPr>
          <w:rFonts w:ascii="Calibri" w:hAnsi="Calibri" w:cs="Calibri"/>
          <w:color w:val="000000"/>
          <w:sz w:val="22"/>
          <w:szCs w:val="22"/>
          <w:lang w:val="pt-PT"/>
        </w:rPr>
        <w:t>Via Belmeloro 6, 40126 Bologna, Italy</w:t>
      </w:r>
    </w:p>
    <w:p w14:paraId="6333B591" w14:textId="77777777" w:rsidR="001C2B5E" w:rsidRPr="001B038A" w:rsidRDefault="001C2B5E" w:rsidP="001C2B5E">
      <w:pPr>
        <w:jc w:val="center"/>
        <w:rPr>
          <w:rFonts w:ascii="Calibri" w:hAnsi="Calibri" w:cs="Calibri"/>
          <w:color w:val="000000"/>
          <w:sz w:val="22"/>
          <w:szCs w:val="22"/>
          <w:lang w:val="pt-PT"/>
        </w:rPr>
      </w:pPr>
      <w:r w:rsidRPr="001B038A">
        <w:rPr>
          <w:rFonts w:ascii="Calibri" w:hAnsi="Calibri" w:cs="Calibri"/>
          <w:color w:val="000000"/>
          <w:sz w:val="22"/>
          <w:szCs w:val="22"/>
          <w:lang w:val="pt-PT"/>
        </w:rPr>
        <w:t>marialaura.bolognesi@unibo.it</w:t>
      </w:r>
    </w:p>
    <w:p w14:paraId="51C96673" w14:textId="77777777" w:rsidR="001C2B5E" w:rsidRPr="001B038A" w:rsidRDefault="001C2B5E" w:rsidP="001C2B5E">
      <w:pPr>
        <w:jc w:val="center"/>
        <w:rPr>
          <w:rFonts w:ascii="Calibri" w:hAnsi="Calibri" w:cs="Calibri"/>
          <w:color w:val="000000"/>
          <w:sz w:val="22"/>
          <w:szCs w:val="22"/>
          <w:lang w:val="pt-PT"/>
        </w:rPr>
      </w:pPr>
    </w:p>
    <w:p w14:paraId="366C1D66" w14:textId="77777777" w:rsidR="001C2B5E" w:rsidRPr="001B038A" w:rsidRDefault="001C2B5E" w:rsidP="001C2B5E">
      <w:pPr>
        <w:jc w:val="center"/>
        <w:rPr>
          <w:rFonts w:ascii="Calibri" w:hAnsi="Calibri" w:cs="Calibri"/>
          <w:color w:val="000000"/>
          <w:sz w:val="22"/>
          <w:szCs w:val="22"/>
          <w:lang w:val="pt-PT"/>
        </w:rPr>
      </w:pPr>
    </w:p>
    <w:p w14:paraId="6CB0A0CD" w14:textId="77777777" w:rsidR="001C2B5E" w:rsidRPr="003F0A54" w:rsidRDefault="001C2B5E" w:rsidP="001C2B5E">
      <w:pPr>
        <w:jc w:val="both"/>
        <w:rPr>
          <w:rFonts w:ascii="Calibri" w:hAnsi="Calibri" w:cs="Calibri"/>
          <w:lang w:val="it-IT"/>
        </w:rPr>
      </w:pPr>
      <w:r>
        <w:rPr>
          <w:rFonts w:ascii="Calibri" w:hAnsi="Calibri" w:cs="Calibri"/>
          <w:lang w:val="it-IT"/>
        </w:rPr>
        <w:t>T</w:t>
      </w:r>
      <w:r w:rsidRPr="003F0A54">
        <w:rPr>
          <w:rFonts w:ascii="Calibri" w:hAnsi="Calibri" w:cs="Calibri"/>
          <w:lang w:val="it-IT"/>
        </w:rPr>
        <w:t xml:space="preserve">he development of innovative drugs is crucial to complement existing therapies and achieve control and elimination </w:t>
      </w:r>
      <w:r>
        <w:rPr>
          <w:rFonts w:ascii="Calibri" w:hAnsi="Calibri" w:cs="Calibri"/>
          <w:lang w:val="it-IT"/>
        </w:rPr>
        <w:t>of</w:t>
      </w:r>
      <w:r w:rsidRPr="003F0A54">
        <w:rPr>
          <w:rFonts w:ascii="Calibri" w:hAnsi="Calibri" w:cs="Calibri"/>
          <w:lang w:val="it-IT"/>
        </w:rPr>
        <w:t xml:space="preserve"> </w:t>
      </w:r>
      <w:r>
        <w:rPr>
          <w:rFonts w:ascii="Calibri" w:hAnsi="Calibri" w:cs="Calibri"/>
          <w:lang w:val="it-IT"/>
        </w:rPr>
        <w:t>v</w:t>
      </w:r>
      <w:r w:rsidRPr="003F0A54">
        <w:rPr>
          <w:rFonts w:ascii="Calibri" w:hAnsi="Calibri" w:cs="Calibri"/>
          <w:lang w:val="it-IT"/>
        </w:rPr>
        <w:t>ector-borne parasitic diseases. Targeted protein degradation</w:t>
      </w:r>
      <w:r>
        <w:rPr>
          <w:rFonts w:ascii="Calibri" w:hAnsi="Calibri" w:cs="Calibri"/>
          <w:lang w:val="it-IT"/>
        </w:rPr>
        <w:t xml:space="preserve"> (TPD)</w:t>
      </w:r>
      <w:r w:rsidRPr="003F0A54">
        <w:rPr>
          <w:rFonts w:ascii="Calibri" w:hAnsi="Calibri" w:cs="Calibri"/>
          <w:lang w:val="it-IT"/>
        </w:rPr>
        <w:t xml:space="preserve"> through small</w:t>
      </w:r>
      <w:r>
        <w:rPr>
          <w:rFonts w:ascii="Calibri" w:hAnsi="Calibri" w:cs="Calibri"/>
          <w:lang w:val="it-IT"/>
        </w:rPr>
        <w:t>-</w:t>
      </w:r>
      <w:r w:rsidRPr="003F0A54">
        <w:rPr>
          <w:rFonts w:ascii="Calibri" w:hAnsi="Calibri" w:cs="Calibri"/>
          <w:lang w:val="it-IT"/>
        </w:rPr>
        <w:t xml:space="preserve">molecule degraders </w:t>
      </w:r>
      <w:r>
        <w:rPr>
          <w:rFonts w:ascii="Calibri" w:hAnsi="Calibri" w:cs="Calibri"/>
          <w:lang w:val="it-IT"/>
        </w:rPr>
        <w:t>is</w:t>
      </w:r>
      <w:r w:rsidRPr="003F0A54">
        <w:rPr>
          <w:rFonts w:ascii="Calibri" w:hAnsi="Calibri" w:cs="Calibri"/>
          <w:lang w:val="it-IT"/>
        </w:rPr>
        <w:t xml:space="preserve"> a promising new chemical modality for the development of novel anti-parasitic drugs. The most established approach to date is the design of small molecule</w:t>
      </w:r>
      <w:r>
        <w:rPr>
          <w:rFonts w:ascii="Calibri" w:hAnsi="Calibri" w:cs="Calibri"/>
          <w:lang w:val="it-IT"/>
        </w:rPr>
        <w:t xml:space="preserve"> </w:t>
      </w:r>
      <w:r w:rsidRPr="003F0A54">
        <w:rPr>
          <w:rFonts w:ascii="Calibri" w:hAnsi="Calibri" w:cs="Calibri"/>
          <w:lang w:val="it-IT"/>
        </w:rPr>
        <w:t>proteolysis-targeting chimeras (PROTACs). PROTACs</w:t>
      </w:r>
      <w:r>
        <w:rPr>
          <w:rFonts w:ascii="Calibri" w:hAnsi="Calibri" w:cs="Calibri"/>
          <w:lang w:val="it-IT"/>
        </w:rPr>
        <w:t xml:space="preserve"> are </w:t>
      </w:r>
      <w:r w:rsidRPr="003F0A54">
        <w:rPr>
          <w:rFonts w:ascii="Calibri" w:hAnsi="Calibri" w:cs="Calibri"/>
          <w:lang w:val="it-IT"/>
        </w:rPr>
        <w:t xml:space="preserve">bifunctional small molecules </w:t>
      </w:r>
      <w:r>
        <w:rPr>
          <w:rFonts w:ascii="Calibri" w:hAnsi="Calibri" w:cs="Calibri"/>
          <w:lang w:val="it-IT"/>
        </w:rPr>
        <w:t>constituted by</w:t>
      </w:r>
      <w:r w:rsidRPr="003F0A54">
        <w:rPr>
          <w:rFonts w:ascii="Calibri" w:hAnsi="Calibri" w:cs="Calibri"/>
          <w:lang w:val="it-IT"/>
        </w:rPr>
        <w:t xml:space="preserve"> a</w:t>
      </w:r>
      <w:r>
        <w:rPr>
          <w:rFonts w:ascii="Calibri" w:hAnsi="Calibri" w:cs="Calibri"/>
          <w:lang w:val="it-IT"/>
        </w:rPr>
        <w:t xml:space="preserve"> </w:t>
      </w:r>
      <w:r w:rsidRPr="003F0A54">
        <w:rPr>
          <w:rFonts w:ascii="Calibri" w:hAnsi="Calibri" w:cs="Calibri"/>
          <w:lang w:val="it-IT"/>
        </w:rPr>
        <w:t xml:space="preserve">protein of interest (POI) ligand and an E3 ligase ligand </w:t>
      </w:r>
      <w:r>
        <w:rPr>
          <w:rFonts w:ascii="Calibri" w:hAnsi="Calibri" w:cs="Calibri"/>
          <w:lang w:val="it-IT"/>
        </w:rPr>
        <w:t xml:space="preserve">joined </w:t>
      </w:r>
      <w:r w:rsidRPr="003F0A54">
        <w:rPr>
          <w:rFonts w:ascii="Calibri" w:hAnsi="Calibri" w:cs="Calibri"/>
          <w:lang w:val="it-IT"/>
        </w:rPr>
        <w:t>via a linker</w:t>
      </w:r>
      <w:r>
        <w:rPr>
          <w:rFonts w:ascii="Calibri" w:hAnsi="Calibri" w:cs="Calibri"/>
          <w:lang w:val="it-IT"/>
        </w:rPr>
        <w:t xml:space="preserve">. As such, </w:t>
      </w:r>
      <w:r w:rsidRPr="003F0A54">
        <w:rPr>
          <w:rFonts w:ascii="Calibri" w:hAnsi="Calibri" w:cs="Calibri"/>
          <w:lang w:val="it-IT"/>
        </w:rPr>
        <w:t>PROTACs harness the endogenous ubiquitin-proteasome system to induce ubiquitination and subsequent degradation of the protein of interest (POI)</w:t>
      </w:r>
      <w:r>
        <w:rPr>
          <w:rFonts w:ascii="Calibri" w:hAnsi="Calibri" w:cs="Calibri"/>
          <w:lang w:val="it-IT"/>
        </w:rPr>
        <w:t xml:space="preserve"> in contrast to conventional inhibitors</w:t>
      </w:r>
      <w:r w:rsidRPr="003F0A54">
        <w:rPr>
          <w:rFonts w:ascii="Calibri" w:hAnsi="Calibri" w:cs="Calibri"/>
          <w:lang w:val="it-IT"/>
        </w:rPr>
        <w:t>.</w:t>
      </w:r>
    </w:p>
    <w:p w14:paraId="4F15D501" w14:textId="77777777" w:rsidR="001C2B5E" w:rsidRPr="003F0A54" w:rsidRDefault="001C2B5E" w:rsidP="001C2B5E">
      <w:pPr>
        <w:jc w:val="both"/>
        <w:rPr>
          <w:rFonts w:ascii="Calibri" w:hAnsi="Calibri" w:cs="Calibri"/>
          <w:lang w:val="it-IT"/>
        </w:rPr>
      </w:pPr>
      <w:r>
        <w:rPr>
          <w:rFonts w:ascii="Calibri" w:hAnsi="Calibri" w:cs="Calibri"/>
          <w:lang w:val="it-IT"/>
        </w:rPr>
        <w:t xml:space="preserve">TPD might </w:t>
      </w:r>
      <w:r w:rsidRPr="003F0A54">
        <w:rPr>
          <w:rFonts w:ascii="Calibri" w:hAnsi="Calibri" w:cs="Calibri"/>
          <w:lang w:val="it-IT"/>
        </w:rPr>
        <w:t>offer several advantages, including the ability to target previously "undruggable" proteins and a catalytic mechanism that holds potential to overcome resistance in drug-resistant parasite strains. Additionally, PROTACs provide opportunities to "recycle" inhibitors from pr</w:t>
      </w:r>
      <w:r>
        <w:rPr>
          <w:rFonts w:ascii="Calibri" w:hAnsi="Calibri" w:cs="Calibri"/>
          <w:lang w:val="it-IT"/>
        </w:rPr>
        <w:t>evious</w:t>
      </w:r>
      <w:r w:rsidRPr="003F0A54">
        <w:rPr>
          <w:rFonts w:ascii="Calibri" w:hAnsi="Calibri" w:cs="Calibri"/>
          <w:lang w:val="it-IT"/>
        </w:rPr>
        <w:t xml:space="preserve"> drug discovery efforts</w:t>
      </w:r>
      <w:r>
        <w:rPr>
          <w:rFonts w:ascii="Calibri" w:hAnsi="Calibri" w:cs="Calibri"/>
          <w:lang w:val="it-IT"/>
        </w:rPr>
        <w:t xml:space="preserve"> [1]</w:t>
      </w:r>
      <w:r w:rsidRPr="003F0A54">
        <w:rPr>
          <w:rFonts w:ascii="Calibri" w:hAnsi="Calibri" w:cs="Calibri"/>
          <w:lang w:val="it-IT"/>
        </w:rPr>
        <w:t>. Despite these advantages, the field remains nascent and faces significant challenges. These include a limited understanding of parasite-specific protein degradation machinery, poor cell permeability of PROTACs, and potential host-side effects. Consequently, no PROTACs have yet been developed for parasitic diseases.</w:t>
      </w:r>
    </w:p>
    <w:p w14:paraId="13995D02" w14:textId="77777777" w:rsidR="001C2B5E" w:rsidRPr="003F0A54" w:rsidRDefault="001C2B5E" w:rsidP="001C2B5E">
      <w:pPr>
        <w:jc w:val="both"/>
        <w:rPr>
          <w:rFonts w:ascii="Calibri" w:hAnsi="Calibri" w:cs="Calibri"/>
          <w:lang w:val="it-IT"/>
        </w:rPr>
      </w:pPr>
      <w:r w:rsidRPr="003F0A54">
        <w:rPr>
          <w:rFonts w:ascii="Calibri" w:hAnsi="Calibri" w:cs="Calibri"/>
          <w:lang w:val="it-IT"/>
        </w:rPr>
        <w:t xml:space="preserve">Nonetheless, we believe that innovative and unconventional approaches are vital to addressing these challenges. In this </w:t>
      </w:r>
      <w:r>
        <w:rPr>
          <w:rFonts w:ascii="Calibri" w:hAnsi="Calibri" w:cs="Calibri"/>
          <w:lang w:val="it-IT"/>
        </w:rPr>
        <w:t>presentantion</w:t>
      </w:r>
      <w:r w:rsidRPr="003F0A54">
        <w:rPr>
          <w:rFonts w:ascii="Calibri" w:hAnsi="Calibri" w:cs="Calibri"/>
          <w:lang w:val="it-IT"/>
        </w:rPr>
        <w:t xml:space="preserve">, we will share our research efforts aimed at developing the first PROTACs for leishmaniasis, which could represent </w:t>
      </w:r>
      <w:r>
        <w:rPr>
          <w:rFonts w:ascii="Calibri" w:hAnsi="Calibri" w:cs="Calibri"/>
          <w:lang w:val="it-IT"/>
        </w:rPr>
        <w:t xml:space="preserve">the </w:t>
      </w:r>
      <w:r w:rsidRPr="005E54EE">
        <w:rPr>
          <w:rFonts w:ascii="Calibri" w:hAnsi="Calibri" w:cs="Calibri"/>
        </w:rPr>
        <w:t>next-generation</w:t>
      </w:r>
      <w:r>
        <w:rPr>
          <w:rFonts w:ascii="Calibri" w:hAnsi="Calibri" w:cs="Calibri"/>
        </w:rPr>
        <w:t xml:space="preserve"> of</w:t>
      </w:r>
      <w:r w:rsidRPr="005E54EE">
        <w:rPr>
          <w:rFonts w:ascii="Calibri" w:hAnsi="Calibri" w:cs="Calibri"/>
        </w:rPr>
        <w:t xml:space="preserve"> anti-</w:t>
      </w:r>
      <w:r w:rsidRPr="003F0A54">
        <w:rPr>
          <w:rFonts w:ascii="Calibri" w:hAnsi="Calibri" w:cs="Calibri"/>
          <w:lang w:val="it-IT"/>
        </w:rPr>
        <w:t xml:space="preserve">parasitic </w:t>
      </w:r>
      <w:r w:rsidRPr="005E54EE">
        <w:rPr>
          <w:rFonts w:ascii="Calibri" w:hAnsi="Calibri" w:cs="Calibri"/>
        </w:rPr>
        <w:t>drugs</w:t>
      </w:r>
      <w:r w:rsidRPr="003F0A54">
        <w:rPr>
          <w:rFonts w:ascii="Calibri" w:hAnsi="Calibri" w:cs="Calibri"/>
          <w:lang w:val="it-IT"/>
        </w:rPr>
        <w:t>.</w:t>
      </w:r>
    </w:p>
    <w:p w14:paraId="7D91E0CD" w14:textId="77777777" w:rsidR="001C2B5E" w:rsidRDefault="001C2B5E" w:rsidP="001C2B5E">
      <w:pPr>
        <w:jc w:val="both"/>
        <w:rPr>
          <w:rFonts w:ascii="Calibri" w:hAnsi="Calibri" w:cs="Calibri"/>
        </w:rPr>
      </w:pPr>
    </w:p>
    <w:p w14:paraId="606A18D3" w14:textId="77777777" w:rsidR="001C2B5E" w:rsidRPr="001B038A" w:rsidRDefault="001C2B5E" w:rsidP="001C2B5E">
      <w:pPr>
        <w:rPr>
          <w:rFonts w:ascii="Calibri" w:hAnsi="Calibri" w:cs="Calibri"/>
          <w:b/>
          <w:bCs/>
          <w:sz w:val="22"/>
          <w:szCs w:val="22"/>
          <w:lang w:val="pt-PT"/>
        </w:rPr>
      </w:pPr>
      <w:r w:rsidRPr="001B038A">
        <w:rPr>
          <w:rFonts w:ascii="Calibri" w:hAnsi="Calibri" w:cs="Calibri"/>
          <w:b/>
          <w:bCs/>
          <w:sz w:val="22"/>
          <w:szCs w:val="22"/>
          <w:lang w:val="pt-PT"/>
        </w:rPr>
        <w:t>References</w:t>
      </w:r>
    </w:p>
    <w:p w14:paraId="61473656" w14:textId="77777777" w:rsidR="001C2B5E" w:rsidRPr="003F0A54" w:rsidRDefault="001C2B5E" w:rsidP="001C2B5E">
      <w:pPr>
        <w:rPr>
          <w:rFonts w:ascii="Calibri" w:hAnsi="Calibri" w:cs="Calibri"/>
          <w:sz w:val="22"/>
          <w:szCs w:val="22"/>
          <w:lang w:val="hu-HU"/>
        </w:rPr>
      </w:pPr>
      <w:r>
        <w:rPr>
          <w:rFonts w:ascii="Calibri" w:hAnsi="Calibri" w:cs="Calibri"/>
          <w:sz w:val="22"/>
          <w:szCs w:val="22"/>
          <w:lang w:val="hu-HU"/>
        </w:rPr>
        <w:t xml:space="preserve">[1] </w:t>
      </w:r>
      <w:r w:rsidRPr="003F0A54">
        <w:rPr>
          <w:rFonts w:ascii="Calibri" w:hAnsi="Calibri" w:cs="Calibri"/>
          <w:sz w:val="22"/>
          <w:szCs w:val="22"/>
          <w:lang w:val="hu-HU"/>
        </w:rPr>
        <w:t xml:space="preserve">Espinoza-Chávez RM, Salerno A, Liuzzi A, Ilari A, Milelli A, Uliassi E, Bolognesi ML. Targeted Protein Degradation for Infectious Diseases: from Basic Biology to Drug Discovery. ACS Bio Med Chem Au. 2022 Dec 15;3(1):32-45. doi: 10.1021/acsbiomedchemau.2c00063. </w:t>
      </w:r>
    </w:p>
    <w:p w14:paraId="02FCE947" w14:textId="77777777" w:rsidR="001C2B5E" w:rsidRDefault="001C2B5E" w:rsidP="001C2B5E">
      <w:pPr>
        <w:rPr>
          <w:rFonts w:ascii="Calibri" w:hAnsi="Calibri" w:cs="Calibri"/>
          <w:spacing w:val="2"/>
          <w:sz w:val="22"/>
          <w:szCs w:val="22"/>
          <w:shd w:val="clear" w:color="auto" w:fill="FFFFFF"/>
        </w:rPr>
      </w:pPr>
    </w:p>
    <w:p w14:paraId="3B8E0DE1" w14:textId="77777777" w:rsidR="001C2B5E" w:rsidRDefault="001C2B5E" w:rsidP="001C2B5E">
      <w:pPr>
        <w:rPr>
          <w:rFonts w:ascii="Calibri" w:hAnsi="Calibri" w:cs="Calibri"/>
          <w:b/>
          <w:bCs/>
          <w:spacing w:val="2"/>
          <w:sz w:val="22"/>
          <w:szCs w:val="22"/>
          <w:shd w:val="clear" w:color="auto" w:fill="FFFFFF"/>
        </w:rPr>
      </w:pPr>
      <w:r>
        <w:rPr>
          <w:rFonts w:ascii="Calibri" w:hAnsi="Calibri" w:cs="Calibri"/>
          <w:b/>
          <w:bCs/>
          <w:spacing w:val="2"/>
          <w:sz w:val="22"/>
          <w:szCs w:val="22"/>
          <w:shd w:val="clear" w:color="auto" w:fill="FFFFFF"/>
        </w:rPr>
        <w:lastRenderedPageBreak/>
        <w:t>Acknowledgment</w:t>
      </w:r>
    </w:p>
    <w:p w14:paraId="206828E6" w14:textId="04751386" w:rsidR="001C2B5E" w:rsidRDefault="001C2B5E" w:rsidP="001C2B5E">
      <w:pPr>
        <w:rPr>
          <w:rFonts w:ascii="Calibri" w:hAnsi="Calibri" w:cs="Calibri"/>
          <w:sz w:val="22"/>
          <w:szCs w:val="22"/>
        </w:rPr>
      </w:pPr>
      <w:r w:rsidRPr="003F0A54">
        <w:rPr>
          <w:rFonts w:ascii="Calibri" w:hAnsi="Calibri" w:cs="Calibri"/>
          <w:spacing w:val="2"/>
          <w:sz w:val="22"/>
          <w:szCs w:val="22"/>
          <w:shd w:val="clear" w:color="auto" w:fill="FFFFFF"/>
        </w:rPr>
        <w:t>This research was supported by the University of Bologna (Grant RFO 2021) and by MIUR- FISR2019_03796 “Proteolysis targeting chimeras (PROTACs) to treat leishmaniasis”- PROLEISH.</w:t>
      </w:r>
    </w:p>
    <w:p w14:paraId="533D929D" w14:textId="56F5B62D" w:rsidR="001C2B5E" w:rsidRDefault="001C2B5E">
      <w:pPr>
        <w:rPr>
          <w:rFonts w:ascii="Calibri" w:hAnsi="Calibri" w:cs="Calibri"/>
          <w:sz w:val="22"/>
          <w:szCs w:val="22"/>
        </w:rPr>
      </w:pPr>
      <w:r>
        <w:rPr>
          <w:rFonts w:ascii="Calibri" w:hAnsi="Calibri" w:cs="Calibri"/>
          <w:sz w:val="22"/>
          <w:szCs w:val="22"/>
        </w:rPr>
        <w:br w:type="page"/>
      </w:r>
    </w:p>
    <w:p w14:paraId="3EE6C056" w14:textId="77777777" w:rsidR="00256364" w:rsidRPr="00256364" w:rsidRDefault="00256364" w:rsidP="00256364">
      <w:pPr>
        <w:jc w:val="center"/>
        <w:rPr>
          <w:rFonts w:ascii="Calibri" w:hAnsi="Calibri" w:cs="Calibri"/>
          <w:b/>
          <w:color w:val="006699"/>
          <w:lang w:val="en-GB"/>
        </w:rPr>
      </w:pPr>
      <w:r w:rsidRPr="00256364">
        <w:rPr>
          <w:rFonts w:ascii="Calibri" w:hAnsi="Calibri" w:cs="Calibri"/>
          <w:b/>
          <w:color w:val="006699"/>
          <w:lang w:val="en-GB"/>
        </w:rPr>
        <w:lastRenderedPageBreak/>
        <w:t>Exploring the chemical space of small molecules targeting trypanothione reductase</w:t>
      </w:r>
      <w:r w:rsidRPr="00256364">
        <w:rPr>
          <w:rFonts w:ascii="Calibri" w:hAnsi="Calibri" w:cs="Calibri"/>
          <w:b/>
          <w:bCs/>
          <w:color w:val="000000" w:themeColor="text1"/>
          <w:lang w:val="en-GB"/>
        </w:rPr>
        <w:t xml:space="preserve">  </w:t>
      </w:r>
      <w:r w:rsidRPr="00256364">
        <w:rPr>
          <w:rFonts w:ascii="Calibri" w:hAnsi="Calibri" w:cs="Calibri"/>
          <w:b/>
          <w:color w:val="006699"/>
          <w:lang w:val="en-GB"/>
        </w:rPr>
        <w:t>for parasitic diseases</w:t>
      </w:r>
    </w:p>
    <w:p w14:paraId="7164B0FD" w14:textId="77777777" w:rsidR="00256364" w:rsidRDefault="00256364" w:rsidP="00256364">
      <w:pPr>
        <w:spacing w:line="264" w:lineRule="auto"/>
        <w:jc w:val="center"/>
        <w:rPr>
          <w:rFonts w:ascii="Calibri" w:hAnsi="Calibri" w:cs="Calibri"/>
          <w:b/>
          <w:bCs/>
          <w:color w:val="000000" w:themeColor="text1"/>
          <w:lang w:val="en-GB"/>
        </w:rPr>
      </w:pPr>
    </w:p>
    <w:p w14:paraId="7491BCBE" w14:textId="303EDE39" w:rsidR="00242EC7" w:rsidRPr="002251C3" w:rsidRDefault="00242EC7" w:rsidP="00242EC7">
      <w:pPr>
        <w:spacing w:line="360" w:lineRule="auto"/>
        <w:jc w:val="center"/>
        <w:rPr>
          <w:rFonts w:ascii="Calibri" w:hAnsi="Calibri" w:cs="Calibri"/>
        </w:rPr>
      </w:pPr>
      <w:r w:rsidRPr="002251C3">
        <w:rPr>
          <w:rFonts w:ascii="Calibri" w:hAnsi="Calibri" w:cs="Calibri"/>
          <w:color w:val="000000"/>
          <w:u w:val="single"/>
        </w:rPr>
        <w:t>Elisa Uliassi</w:t>
      </w:r>
      <w:r w:rsidRPr="002251C3">
        <w:rPr>
          <w:rFonts w:ascii="Calibri" w:hAnsi="Calibri" w:cs="Calibri"/>
          <w:color w:val="000000"/>
          <w:vertAlign w:val="superscript"/>
        </w:rPr>
        <w:t>a</w:t>
      </w:r>
    </w:p>
    <w:p w14:paraId="018EE841" w14:textId="0CE48451" w:rsidR="00242EC7" w:rsidRPr="00242EC7" w:rsidRDefault="00242EC7" w:rsidP="00242EC7">
      <w:pPr>
        <w:jc w:val="center"/>
        <w:rPr>
          <w:rFonts w:ascii="Calibri" w:hAnsi="Calibri" w:cs="Calibri"/>
          <w:color w:val="000000"/>
          <w:sz w:val="22"/>
          <w:szCs w:val="22"/>
        </w:rPr>
      </w:pPr>
      <w:r w:rsidRPr="002251C3">
        <w:rPr>
          <w:rFonts w:ascii="Calibri" w:hAnsi="Calibri" w:cs="Calibri"/>
          <w:color w:val="000000"/>
          <w:vertAlign w:val="superscript"/>
        </w:rPr>
        <w:t xml:space="preserve">a </w:t>
      </w:r>
      <w:r w:rsidRPr="002251C3">
        <w:rPr>
          <w:rFonts w:ascii="Calibri" w:hAnsi="Calibri" w:cs="Calibri"/>
          <w:color w:val="000000"/>
          <w:sz w:val="22"/>
          <w:szCs w:val="22"/>
        </w:rPr>
        <w:t>Department of Pharmacy and Biotechnology, University of Bologna</w:t>
      </w:r>
      <w:r>
        <w:rPr>
          <w:rFonts w:ascii="Calibri" w:hAnsi="Calibri" w:cs="Calibri"/>
          <w:color w:val="000000"/>
          <w:sz w:val="22"/>
          <w:szCs w:val="22"/>
        </w:rPr>
        <w:t>,</w:t>
      </w:r>
      <w:r w:rsidRPr="002251C3">
        <w:rPr>
          <w:rFonts w:ascii="Calibri" w:hAnsi="Calibri" w:cs="Calibri"/>
          <w:color w:val="000000"/>
          <w:sz w:val="22"/>
          <w:szCs w:val="22"/>
        </w:rPr>
        <w:t xml:space="preserve"> Via Belmeloro 6, 40126 Bologna, Italy</w:t>
      </w:r>
    </w:p>
    <w:p w14:paraId="6270BE8F" w14:textId="77777777" w:rsidR="00242EC7" w:rsidRPr="002251C3" w:rsidRDefault="00000000" w:rsidP="00242EC7">
      <w:pPr>
        <w:jc w:val="center"/>
        <w:rPr>
          <w:rFonts w:ascii="Calibri" w:hAnsi="Calibri" w:cs="Calibri"/>
          <w:color w:val="000000"/>
          <w:sz w:val="22"/>
          <w:szCs w:val="22"/>
        </w:rPr>
      </w:pPr>
      <w:hyperlink r:id="rId12" w:history="1">
        <w:r w:rsidR="00242EC7" w:rsidRPr="002251C3">
          <w:rPr>
            <w:rStyle w:val="Hyperlink"/>
            <w:rFonts w:ascii="Calibri" w:hAnsi="Calibri" w:cs="Calibri"/>
            <w:sz w:val="22"/>
            <w:szCs w:val="22"/>
          </w:rPr>
          <w:t>elisa.uliassi3@unibo.it</w:t>
        </w:r>
      </w:hyperlink>
    </w:p>
    <w:p w14:paraId="1A4B4F97" w14:textId="77777777" w:rsidR="00242EC7" w:rsidRPr="002251C3" w:rsidRDefault="00242EC7" w:rsidP="00242EC7">
      <w:pPr>
        <w:jc w:val="center"/>
        <w:rPr>
          <w:rFonts w:ascii="Calibri" w:hAnsi="Calibri" w:cs="Calibri"/>
          <w:color w:val="000000"/>
          <w:sz w:val="22"/>
          <w:szCs w:val="22"/>
        </w:rPr>
      </w:pPr>
    </w:p>
    <w:p w14:paraId="5639186A" w14:textId="76BE7039" w:rsidR="00242EC7" w:rsidRPr="00E45C3D" w:rsidRDefault="00242EC7" w:rsidP="00242EC7">
      <w:pPr>
        <w:jc w:val="both"/>
        <w:rPr>
          <w:rFonts w:ascii="Calibri" w:hAnsi="Calibri" w:cs="Calibri"/>
        </w:rPr>
      </w:pPr>
      <w:r w:rsidRPr="00E45C3D">
        <w:rPr>
          <w:rFonts w:ascii="Calibri" w:hAnsi="Calibri" w:cs="Calibri"/>
        </w:rPr>
        <w:t>Trypanothione reductase (TR), a key enzyme in parasite redox homeostasis, has emerged as a validated drug target for parasitic diseases. However, the development of effective small molecules targeting TR is challenging due to the enzyme's broad and featureless binding site.</w:t>
      </w:r>
    </w:p>
    <w:p w14:paraId="676A7C10" w14:textId="77777777" w:rsidR="00242EC7" w:rsidRPr="00E45C3D" w:rsidRDefault="00242EC7" w:rsidP="00242EC7">
      <w:pPr>
        <w:jc w:val="both"/>
        <w:rPr>
          <w:rFonts w:ascii="Calibri" w:hAnsi="Calibri" w:cs="Calibri"/>
        </w:rPr>
      </w:pPr>
      <w:r w:rsidRPr="00E45C3D">
        <w:rPr>
          <w:rFonts w:ascii="Calibri" w:hAnsi="Calibri" w:cs="Calibri"/>
        </w:rPr>
        <w:t xml:space="preserve">In this presentation, we will give you an overview of different medicinal chemistry strategies that we have pursued over the years to develop novel TR small molecules modulators. These efforts have focused on designing compounds with diverse chemotypes and distinct modes of action, showcasing innovative approaches to target TR. We have applied the multi-target drug design strategy to design TR inhibitors endowed with an additional activity to obtain potentially more effective small molecules against </w:t>
      </w:r>
      <w:r w:rsidRPr="00E45C3D">
        <w:rPr>
          <w:rFonts w:ascii="Calibri" w:hAnsi="Calibri" w:cs="Calibri"/>
          <w:i/>
          <w:iCs/>
        </w:rPr>
        <w:t>Trypanosoma</w:t>
      </w:r>
      <w:r w:rsidRPr="00E45C3D">
        <w:rPr>
          <w:rFonts w:ascii="Calibri" w:hAnsi="Calibri" w:cs="Calibri"/>
        </w:rPr>
        <w:t xml:space="preserve"> strains [1]. We have also exploited a fragment-based drug discovery approach to identify novel TR inhibitors targeting </w:t>
      </w:r>
      <w:r w:rsidRPr="00E45C3D">
        <w:rPr>
          <w:rFonts w:ascii="Calibri" w:hAnsi="Calibri" w:cs="Calibri"/>
          <w:i/>
          <w:iCs/>
        </w:rPr>
        <w:t>Leishmania</w:t>
      </w:r>
      <w:r w:rsidRPr="00E45C3D">
        <w:rPr>
          <w:rFonts w:ascii="Calibri" w:hAnsi="Calibri" w:cs="Calibri"/>
        </w:rPr>
        <w:t>. Using fragment merging, linking, and growing strategies, we successfully developed potent TR inhibitors [2]. Recently, we have harnessed the hydrophobic tag-based protein degradation modality [3], to develop potential TR-directed bifunctional degraders beyond PROTACs.</w:t>
      </w:r>
    </w:p>
    <w:p w14:paraId="7B265EAE" w14:textId="77777777" w:rsidR="00242EC7" w:rsidRPr="00E45C3D" w:rsidRDefault="00242EC7" w:rsidP="00242EC7">
      <w:pPr>
        <w:jc w:val="both"/>
        <w:rPr>
          <w:rFonts w:ascii="Calibri" w:hAnsi="Calibri" w:cs="Calibri"/>
        </w:rPr>
      </w:pPr>
      <w:r w:rsidRPr="00E45C3D">
        <w:rPr>
          <w:rFonts w:ascii="Calibri" w:hAnsi="Calibri" w:cs="Calibri"/>
        </w:rPr>
        <w:t>By exploiting the unique biology of trypanosomes and their reliance on trypanothione system, small molecules targeting this enzyme offer a promising strategy for addressing parasitic diseases caused by these parasites.</w:t>
      </w:r>
    </w:p>
    <w:p w14:paraId="0A0B367F" w14:textId="77777777" w:rsidR="00242EC7" w:rsidRPr="002251C3" w:rsidRDefault="00242EC7" w:rsidP="00242EC7">
      <w:pPr>
        <w:jc w:val="both"/>
        <w:rPr>
          <w:rFonts w:ascii="Calibri" w:hAnsi="Calibri" w:cs="Calibri"/>
        </w:rPr>
      </w:pPr>
    </w:p>
    <w:p w14:paraId="6B364E39" w14:textId="77777777" w:rsidR="00242EC7" w:rsidRPr="002251C3" w:rsidRDefault="00242EC7" w:rsidP="00242EC7">
      <w:pPr>
        <w:rPr>
          <w:rFonts w:ascii="Calibri" w:hAnsi="Calibri" w:cs="Calibri"/>
          <w:b/>
          <w:bCs/>
          <w:sz w:val="22"/>
          <w:szCs w:val="22"/>
        </w:rPr>
      </w:pPr>
      <w:r w:rsidRPr="002251C3">
        <w:rPr>
          <w:rFonts w:ascii="Calibri" w:hAnsi="Calibri" w:cs="Calibri"/>
          <w:b/>
          <w:bCs/>
          <w:sz w:val="22"/>
          <w:szCs w:val="22"/>
        </w:rPr>
        <w:t>References</w:t>
      </w:r>
    </w:p>
    <w:p w14:paraId="1D63C15E" w14:textId="77777777" w:rsidR="00242EC7" w:rsidRPr="002251C3" w:rsidRDefault="00242EC7" w:rsidP="00242EC7">
      <w:pPr>
        <w:rPr>
          <w:rFonts w:ascii="Calibri" w:hAnsi="Calibri" w:cs="Calibri"/>
          <w:spacing w:val="2"/>
          <w:sz w:val="22"/>
          <w:szCs w:val="22"/>
          <w:shd w:val="clear" w:color="auto" w:fill="FFFFFF"/>
        </w:rPr>
      </w:pPr>
      <w:r w:rsidRPr="002251C3">
        <w:rPr>
          <w:rFonts w:ascii="Calibri" w:hAnsi="Calibri" w:cs="Calibri"/>
          <w:sz w:val="22"/>
          <w:szCs w:val="22"/>
        </w:rPr>
        <w:t>[1] Uliassi E, Fiorani G, Krauth-Siegel RL, Bergamini C, Fato R, Bianchini G, Carlos Menéndez J, Molina MT, López-Montero E, Falchi F, Cavalli A, Gul S, Kuzikov M, Ellinger B, Witt G, Moraes CB, Freitas-Junior LH, Borsari C, Costi MP, Bolognesi ML. Crassiflorone derivatives that inhibit Trypanosoma brucei glyceraldehyde-3-phosphate dehydrogenase (TbGAPDH) and Trypanosoma cruzi trypanothione reductase (TcTR) and display trypanocidal activity. Eur J Med Chem. 2017 Dec 1;141:138-148. doi: 10.1016/j.ejmech.2017.10.005. </w:t>
      </w:r>
    </w:p>
    <w:p w14:paraId="16FDF2C4" w14:textId="77777777" w:rsidR="00242EC7" w:rsidRPr="00CF0E0C" w:rsidRDefault="00242EC7" w:rsidP="00242EC7">
      <w:pPr>
        <w:rPr>
          <w:rFonts w:ascii="Calibri" w:hAnsi="Calibri" w:cs="Calibri"/>
          <w:spacing w:val="2"/>
          <w:sz w:val="22"/>
          <w:szCs w:val="22"/>
          <w:shd w:val="clear" w:color="auto" w:fill="FFFFFF"/>
          <w:lang w:val="pt-PT"/>
        </w:rPr>
      </w:pPr>
      <w:r w:rsidRPr="00CF0E0C">
        <w:rPr>
          <w:rFonts w:ascii="Calibri" w:hAnsi="Calibri" w:cs="Calibri"/>
          <w:spacing w:val="2"/>
          <w:sz w:val="22"/>
          <w:szCs w:val="22"/>
          <w:shd w:val="clear" w:color="auto" w:fill="FFFFFF"/>
          <w:lang w:val="pt-PT"/>
        </w:rPr>
        <w:t xml:space="preserve">[2] Exertier C, Salerno A, Antonelli L, Fiorillo A, Ocello R, Seghetti F, Caciolla J, Uliassi E, Masetti M, Fiorentino E, Orsini S, Di Muccio T, Ilari A, Bolognesi ML. </w:t>
      </w:r>
      <w:r w:rsidRPr="002251C3">
        <w:rPr>
          <w:rFonts w:ascii="Calibri" w:hAnsi="Calibri" w:cs="Calibri"/>
          <w:spacing w:val="2"/>
          <w:sz w:val="22"/>
          <w:szCs w:val="22"/>
          <w:shd w:val="clear" w:color="auto" w:fill="FFFFFF"/>
        </w:rPr>
        <w:t xml:space="preserve">Fragment Merging, Growing, and Linking Identify New Trypanothione Reductase Inhibitors for Leishmaniasis. </w:t>
      </w:r>
      <w:r w:rsidRPr="00CF0E0C">
        <w:rPr>
          <w:rFonts w:ascii="Calibri" w:hAnsi="Calibri" w:cs="Calibri"/>
          <w:spacing w:val="2"/>
          <w:sz w:val="22"/>
          <w:szCs w:val="22"/>
          <w:shd w:val="clear" w:color="auto" w:fill="FFFFFF"/>
          <w:lang w:val="pt-PT"/>
        </w:rPr>
        <w:t>J Med Chem. 2024 Jan 11;67(1):402-419. doi: 10.1021/acs.jmedchem.3c01439. </w:t>
      </w:r>
    </w:p>
    <w:p w14:paraId="275704D9" w14:textId="77777777" w:rsidR="00242EC7" w:rsidRPr="002251C3" w:rsidRDefault="00242EC7" w:rsidP="00242EC7">
      <w:pPr>
        <w:rPr>
          <w:rFonts w:ascii="Calibri" w:hAnsi="Calibri" w:cs="Calibri"/>
          <w:sz w:val="22"/>
          <w:szCs w:val="22"/>
        </w:rPr>
      </w:pPr>
      <w:r w:rsidRPr="00CF0E0C">
        <w:rPr>
          <w:rFonts w:ascii="Calibri" w:hAnsi="Calibri" w:cs="Calibri"/>
          <w:spacing w:val="2"/>
          <w:sz w:val="22"/>
          <w:szCs w:val="22"/>
          <w:shd w:val="clear" w:color="auto" w:fill="FFFFFF"/>
          <w:lang w:val="pt-PT"/>
        </w:rPr>
        <w:lastRenderedPageBreak/>
        <w:t>[3]</w:t>
      </w:r>
      <w:r w:rsidRPr="00CF0E0C">
        <w:rPr>
          <w:rFonts w:ascii="Calibri" w:hAnsi="Calibri" w:cs="Calibri"/>
          <w:sz w:val="22"/>
          <w:szCs w:val="22"/>
          <w:lang w:val="pt-PT"/>
        </w:rPr>
        <w:t xml:space="preserve"> Espinoza-Chávez RM, Salerno A, Liuzzi A, Ilari A, Milelli A, Uliassi E, Bolognesi ML. </w:t>
      </w:r>
      <w:r w:rsidRPr="002251C3">
        <w:rPr>
          <w:rFonts w:ascii="Calibri" w:hAnsi="Calibri" w:cs="Calibri"/>
          <w:sz w:val="22"/>
          <w:szCs w:val="22"/>
        </w:rPr>
        <w:t xml:space="preserve">Targeted Protein Degradation for Infectious Diseases: from Basic Biology to Drug Discovery. ACS Bio Med Chem Au. 2022 Dec 15;3(1):32-45. doi: 10.1021/acsbiomedchemau.2c00063. </w:t>
      </w:r>
    </w:p>
    <w:p w14:paraId="5061C2C9" w14:textId="77777777" w:rsidR="00242EC7" w:rsidRPr="002251C3" w:rsidRDefault="00242EC7" w:rsidP="00242EC7">
      <w:pPr>
        <w:rPr>
          <w:rFonts w:ascii="Calibri" w:hAnsi="Calibri" w:cs="Calibri"/>
          <w:b/>
          <w:bCs/>
          <w:spacing w:val="2"/>
          <w:sz w:val="22"/>
          <w:szCs w:val="22"/>
          <w:shd w:val="clear" w:color="auto" w:fill="FFFFFF"/>
        </w:rPr>
      </w:pPr>
    </w:p>
    <w:p w14:paraId="517A7D93" w14:textId="77777777" w:rsidR="00242EC7" w:rsidRPr="002251C3" w:rsidRDefault="00242EC7" w:rsidP="00242EC7">
      <w:pPr>
        <w:rPr>
          <w:rFonts w:ascii="Calibri" w:hAnsi="Calibri" w:cs="Calibri"/>
          <w:b/>
          <w:bCs/>
          <w:spacing w:val="2"/>
          <w:sz w:val="22"/>
          <w:szCs w:val="22"/>
          <w:shd w:val="clear" w:color="auto" w:fill="FFFFFF"/>
        </w:rPr>
      </w:pPr>
      <w:r w:rsidRPr="002251C3">
        <w:rPr>
          <w:rFonts w:ascii="Calibri" w:hAnsi="Calibri" w:cs="Calibri"/>
          <w:b/>
          <w:bCs/>
          <w:spacing w:val="2"/>
          <w:sz w:val="22"/>
          <w:szCs w:val="22"/>
          <w:shd w:val="clear" w:color="auto" w:fill="FFFFFF"/>
        </w:rPr>
        <w:t>Acknowledgment</w:t>
      </w:r>
    </w:p>
    <w:p w14:paraId="63304119" w14:textId="77777777" w:rsidR="00242EC7" w:rsidRPr="002251C3" w:rsidRDefault="00242EC7" w:rsidP="00242EC7">
      <w:pPr>
        <w:rPr>
          <w:rFonts w:ascii="Calibri" w:hAnsi="Calibri" w:cs="Calibri"/>
          <w:sz w:val="22"/>
          <w:szCs w:val="22"/>
        </w:rPr>
      </w:pPr>
      <w:r w:rsidRPr="002251C3">
        <w:rPr>
          <w:rFonts w:ascii="Calibri" w:hAnsi="Calibri" w:cs="Calibri"/>
          <w:spacing w:val="2"/>
          <w:sz w:val="22"/>
          <w:szCs w:val="22"/>
          <w:shd w:val="clear" w:color="auto" w:fill="FFFFFF"/>
        </w:rPr>
        <w:t>This research was supported by MIUR-FISR2019_03796 (PROLEISH) and the University of Bologna.</w:t>
      </w:r>
    </w:p>
    <w:p w14:paraId="4D3E4DF9" w14:textId="77777777" w:rsidR="00242EC7" w:rsidRPr="002251C3" w:rsidRDefault="00242EC7" w:rsidP="00242EC7">
      <w:pPr>
        <w:rPr>
          <w:rFonts w:ascii="Calibri" w:hAnsi="Calibri" w:cs="Calibri"/>
          <w:sz w:val="22"/>
          <w:szCs w:val="22"/>
        </w:rPr>
      </w:pPr>
    </w:p>
    <w:p w14:paraId="49CB7DE1" w14:textId="6A4226E4" w:rsidR="001C2B5E" w:rsidRDefault="001C2B5E" w:rsidP="00256364">
      <w:pPr>
        <w:spacing w:line="264" w:lineRule="auto"/>
        <w:jc w:val="center"/>
        <w:rPr>
          <w:rFonts w:ascii="Calibri" w:hAnsi="Calibri" w:cs="Calibri"/>
          <w:bCs/>
          <w:color w:val="000000" w:themeColor="text1"/>
          <w:lang w:val="en-GB"/>
        </w:rPr>
      </w:pPr>
    </w:p>
    <w:p w14:paraId="1CF061C8" w14:textId="4CE40887" w:rsidR="0042419C" w:rsidRDefault="0042419C">
      <w:pPr>
        <w:rPr>
          <w:rFonts w:ascii="Calibri" w:hAnsi="Calibri" w:cs="Calibri"/>
          <w:bCs/>
          <w:color w:val="000000" w:themeColor="text1"/>
          <w:lang w:val="en-GB"/>
        </w:rPr>
      </w:pPr>
      <w:r>
        <w:rPr>
          <w:rFonts w:ascii="Calibri" w:hAnsi="Calibri" w:cs="Calibri"/>
          <w:bCs/>
          <w:color w:val="000000" w:themeColor="text1"/>
          <w:lang w:val="en-GB"/>
        </w:rPr>
        <w:br w:type="page"/>
      </w:r>
    </w:p>
    <w:p w14:paraId="502FB427" w14:textId="77777777" w:rsidR="0042419C" w:rsidRDefault="0042419C" w:rsidP="0042419C">
      <w:pPr>
        <w:spacing w:before="120" w:after="200"/>
        <w:jc w:val="center"/>
        <w:rPr>
          <w:rFonts w:asciiTheme="minorHAnsi" w:hAnsiTheme="minorHAnsi" w:cstheme="minorHAnsi"/>
          <w:b/>
          <w:bCs/>
          <w:color w:val="006699"/>
          <w:sz w:val="36"/>
          <w:lang w:val="en" w:eastAsia="lt-LT"/>
        </w:rPr>
      </w:pPr>
      <w:r w:rsidRPr="0042419C">
        <w:rPr>
          <w:rFonts w:asciiTheme="minorHAnsi" w:hAnsiTheme="minorHAnsi" w:cstheme="minorHAnsi"/>
          <w:b/>
          <w:bCs/>
          <w:color w:val="006699"/>
          <w:sz w:val="36"/>
          <w:lang w:val="en" w:eastAsia="lt-LT"/>
        </w:rPr>
        <w:lastRenderedPageBreak/>
        <w:t>Integration of Ecotoxicology in drug discovery</w:t>
      </w:r>
    </w:p>
    <w:p w14:paraId="20F34719" w14:textId="32458942" w:rsidR="0042419C" w:rsidRDefault="0042419C" w:rsidP="0042419C">
      <w:pPr>
        <w:spacing w:before="120" w:after="200"/>
        <w:jc w:val="center"/>
        <w:rPr>
          <w:rFonts w:ascii="Calibri" w:hAnsi="Calibri" w:cs="Calibri"/>
          <w:b/>
          <w:color w:val="006699"/>
          <w:sz w:val="36"/>
          <w:lang w:val="en-GB"/>
        </w:rPr>
      </w:pPr>
      <w:r w:rsidRPr="003905C2">
        <w:rPr>
          <w:rFonts w:ascii="Calibri" w:hAnsi="Calibri" w:cs="Calibri"/>
          <w:b/>
          <w:color w:val="006699"/>
          <w:sz w:val="36"/>
          <w:lang w:val="en-GB"/>
        </w:rPr>
        <w:t>2024-11-2</w:t>
      </w:r>
      <w:r>
        <w:rPr>
          <w:rFonts w:ascii="Calibri" w:hAnsi="Calibri" w:cs="Calibri"/>
          <w:b/>
          <w:color w:val="006699"/>
          <w:sz w:val="36"/>
          <w:lang w:val="en-GB"/>
        </w:rPr>
        <w:t>6</w:t>
      </w:r>
    </w:p>
    <w:p w14:paraId="21323CB7" w14:textId="5B6DEA8D" w:rsidR="0042419C" w:rsidRDefault="0042419C" w:rsidP="0042419C">
      <w:pPr>
        <w:spacing w:line="264" w:lineRule="auto"/>
        <w:rPr>
          <w:rFonts w:ascii="Calibri" w:hAnsi="Calibri" w:cs="Calibri"/>
          <w:bCs/>
          <w:color w:val="000000" w:themeColor="text1"/>
          <w:sz w:val="22"/>
          <w:szCs w:val="22"/>
          <w:lang w:val="en-GB"/>
        </w:rPr>
      </w:pPr>
      <w:r w:rsidRPr="0042419C">
        <w:rPr>
          <w:rFonts w:ascii="Calibri" w:hAnsi="Calibri" w:cs="Calibri"/>
          <w:bCs/>
          <w:color w:val="4472C4" w:themeColor="accent1"/>
          <w:sz w:val="22"/>
          <w:szCs w:val="22"/>
          <w:lang w:val="en-GB"/>
        </w:rPr>
        <w:t xml:space="preserve">DAY 2 (26/11): </w:t>
      </w:r>
      <w:hyperlink r:id="rId13" w:history="1">
        <w:r w:rsidRPr="00077360">
          <w:rPr>
            <w:rStyle w:val="Hyperlink"/>
            <w:rFonts w:ascii="Calibri" w:hAnsi="Calibri" w:cs="Calibri"/>
            <w:bCs/>
            <w:sz w:val="22"/>
            <w:szCs w:val="22"/>
            <w:lang w:val="en-GB"/>
          </w:rPr>
          <w:t>https://teams.microsoft.com/l/meetup-join/19%3aJdu4-YOGoTWvm2EtTXTcbi08m9LpmYFMY_vTAu_mQGU1%40thread.tacv2/1729135292941?context=%7b%22Tid%22%3a%22e787b025-3fc6-4802-874a-9c988768f892%22%2c%22Oid%22%3a%22ac391189-1971-4664-9abf-5dbf09f2a671%22%7d</w:t>
        </w:r>
      </w:hyperlink>
    </w:p>
    <w:p w14:paraId="5836E260" w14:textId="77777777" w:rsidR="0042419C" w:rsidRDefault="0042419C" w:rsidP="0042419C">
      <w:pPr>
        <w:spacing w:line="264" w:lineRule="auto"/>
        <w:rPr>
          <w:rFonts w:ascii="Calibri" w:hAnsi="Calibri" w:cs="Calibri"/>
          <w:bCs/>
          <w:color w:val="000000" w:themeColor="text1"/>
          <w:sz w:val="22"/>
          <w:szCs w:val="22"/>
          <w:lang w:val="en-GB"/>
        </w:rPr>
      </w:pPr>
    </w:p>
    <w:p w14:paraId="6327F8D6" w14:textId="763B3395" w:rsidR="0042419C" w:rsidRDefault="0042419C" w:rsidP="0042419C">
      <w:pPr>
        <w:spacing w:line="264" w:lineRule="auto"/>
        <w:rPr>
          <w:rFonts w:ascii="Calibri" w:hAnsi="Calibri" w:cs="Calibri"/>
          <w:bCs/>
          <w:color w:val="4472C4" w:themeColor="accent1"/>
          <w:sz w:val="22"/>
          <w:szCs w:val="22"/>
          <w:lang w:val="en-GB"/>
        </w:rPr>
      </w:pPr>
      <w:r w:rsidRPr="0042419C">
        <w:rPr>
          <w:rFonts w:ascii="Calibri" w:hAnsi="Calibri" w:cs="Calibri"/>
          <w:bCs/>
          <w:color w:val="4472C4" w:themeColor="accent1"/>
          <w:sz w:val="22"/>
          <w:szCs w:val="22"/>
          <w:lang w:val="en-GB"/>
        </w:rPr>
        <w:t xml:space="preserve"> Meeting ID: 329 792 958 64 Passcode: HQJLhd</w:t>
      </w:r>
    </w:p>
    <w:p w14:paraId="7C5F2887" w14:textId="4E831427" w:rsidR="0042419C" w:rsidRDefault="0042419C">
      <w:pPr>
        <w:rPr>
          <w:rFonts w:ascii="Calibri" w:hAnsi="Calibri" w:cs="Calibri"/>
          <w:bCs/>
          <w:color w:val="4472C4" w:themeColor="accent1"/>
          <w:sz w:val="22"/>
          <w:szCs w:val="22"/>
          <w:lang w:val="en-GB"/>
        </w:rPr>
      </w:pPr>
      <w:r>
        <w:rPr>
          <w:rFonts w:ascii="Calibri" w:hAnsi="Calibri" w:cs="Calibri"/>
          <w:bCs/>
          <w:color w:val="4472C4" w:themeColor="accent1"/>
          <w:sz w:val="22"/>
          <w:szCs w:val="22"/>
          <w:lang w:val="en-GB"/>
        </w:rPr>
        <w:br w:type="page"/>
      </w:r>
    </w:p>
    <w:p w14:paraId="38EF8F43" w14:textId="77777777" w:rsidR="0042419C" w:rsidRDefault="0042419C" w:rsidP="0042419C">
      <w:pPr>
        <w:spacing w:line="264" w:lineRule="auto"/>
        <w:rPr>
          <w:rFonts w:ascii="Calibri" w:hAnsi="Calibri" w:cs="Calibri"/>
          <w:b/>
          <w:bCs/>
          <w:color w:val="000000" w:themeColor="text1"/>
          <w:lang w:val="en-GB"/>
        </w:rPr>
      </w:pPr>
    </w:p>
    <w:p w14:paraId="3295004C" w14:textId="29E22F04" w:rsidR="0042419C" w:rsidRPr="0042419C" w:rsidRDefault="0042419C" w:rsidP="00A83EE9">
      <w:pPr>
        <w:spacing w:line="264" w:lineRule="auto"/>
        <w:jc w:val="center"/>
        <w:rPr>
          <w:rFonts w:ascii="Calibri" w:hAnsi="Calibri" w:cs="Calibri"/>
          <w:b/>
          <w:bCs/>
          <w:color w:val="2E74B5" w:themeColor="accent5" w:themeShade="BF"/>
          <w:lang w:val="en-GB"/>
        </w:rPr>
      </w:pPr>
      <w:r w:rsidRPr="0042419C">
        <w:rPr>
          <w:rFonts w:ascii="Calibri" w:hAnsi="Calibri" w:cs="Calibri"/>
          <w:b/>
          <w:bCs/>
          <w:color w:val="2E74B5" w:themeColor="accent5" w:themeShade="BF"/>
          <w:lang w:val="en-GB"/>
        </w:rPr>
        <w:t>Characterisation of persistence, bioaccumulation and toxicity of biologically active compounds with deep learning-based methods</w:t>
      </w:r>
    </w:p>
    <w:p w14:paraId="33A78660" w14:textId="19C54834" w:rsidR="00A83EE9" w:rsidRPr="00256501" w:rsidRDefault="00A83EE9" w:rsidP="00A83EE9">
      <w:pPr>
        <w:spacing w:line="264" w:lineRule="auto"/>
        <w:jc w:val="center"/>
        <w:rPr>
          <w:rFonts w:ascii="Calibri" w:hAnsi="Calibri" w:cs="Calibri"/>
          <w:color w:val="000000" w:themeColor="text1"/>
          <w:vertAlign w:val="superscript"/>
          <w:lang w:val="it-IT"/>
        </w:rPr>
      </w:pPr>
      <w:r w:rsidRPr="00256501">
        <w:rPr>
          <w:rFonts w:ascii="Calibri" w:hAnsi="Calibri" w:cs="Calibri"/>
          <w:color w:val="000000" w:themeColor="text1"/>
          <w:u w:val="single"/>
          <w:lang w:val="it-IT"/>
        </w:rPr>
        <w:t>Dominga Evangelista</w:t>
      </w:r>
      <w:r w:rsidRPr="00256501">
        <w:rPr>
          <w:rFonts w:ascii="Calibri" w:hAnsi="Calibri" w:cs="Calibri"/>
          <w:color w:val="000000" w:themeColor="text1"/>
          <w:u w:val="single"/>
          <w:vertAlign w:val="superscript"/>
          <w:lang w:val="it-IT"/>
        </w:rPr>
        <w:t>a</w:t>
      </w:r>
      <w:r w:rsidRPr="00256501">
        <w:rPr>
          <w:rFonts w:ascii="Calibri" w:hAnsi="Calibri" w:cs="Calibri"/>
          <w:color w:val="000000" w:themeColor="text1"/>
          <w:lang w:val="it-IT"/>
        </w:rPr>
        <w:t>, Marinella Roberti</w:t>
      </w:r>
      <w:r w:rsidRPr="00256501">
        <w:rPr>
          <w:rFonts w:ascii="Calibri" w:hAnsi="Calibri" w:cs="Calibri"/>
          <w:color w:val="000000" w:themeColor="text1"/>
          <w:vertAlign w:val="superscript"/>
          <w:lang w:val="it-IT"/>
        </w:rPr>
        <w:t>a</w:t>
      </w:r>
      <w:r w:rsidRPr="00256501">
        <w:rPr>
          <w:rFonts w:ascii="Calibri" w:hAnsi="Calibri" w:cs="Calibri"/>
          <w:color w:val="000000" w:themeColor="text1"/>
          <w:lang w:val="it-IT"/>
        </w:rPr>
        <w:t>, Bolognesi Maria Laura</w:t>
      </w:r>
      <w:r w:rsidRPr="00256501">
        <w:rPr>
          <w:rFonts w:ascii="Calibri" w:hAnsi="Calibri" w:cs="Calibri"/>
          <w:color w:val="000000" w:themeColor="text1"/>
          <w:vertAlign w:val="superscript"/>
          <w:lang w:val="it-IT"/>
        </w:rPr>
        <w:t xml:space="preserve">a </w:t>
      </w:r>
      <w:r w:rsidRPr="00256501">
        <w:rPr>
          <w:rFonts w:ascii="Calibri" w:hAnsi="Calibri" w:cs="Calibri"/>
          <w:color w:val="000000" w:themeColor="text1"/>
          <w:lang w:val="it-IT"/>
        </w:rPr>
        <w:t>and Giovanni Bottegoni</w:t>
      </w:r>
      <w:r w:rsidRPr="00256501">
        <w:rPr>
          <w:rFonts w:ascii="Calibri" w:hAnsi="Calibri" w:cs="Calibri"/>
          <w:color w:val="000000" w:themeColor="text1"/>
          <w:vertAlign w:val="superscript"/>
          <w:lang w:val="it-IT"/>
        </w:rPr>
        <w:t>b,c</w:t>
      </w:r>
    </w:p>
    <w:p w14:paraId="69127F94" w14:textId="282AFFBC" w:rsidR="00A83EE9" w:rsidRPr="00E45C3D" w:rsidRDefault="00A83EE9" w:rsidP="00A83EE9">
      <w:pPr>
        <w:spacing w:line="264" w:lineRule="auto"/>
        <w:jc w:val="center"/>
        <w:rPr>
          <w:rFonts w:ascii="Calibri" w:hAnsi="Calibri" w:cs="Calibri"/>
          <w:color w:val="000000" w:themeColor="text1"/>
          <w:sz w:val="22"/>
          <w:szCs w:val="22"/>
        </w:rPr>
      </w:pPr>
      <w:r w:rsidRPr="00E45C3D">
        <w:rPr>
          <w:rFonts w:ascii="Calibri" w:hAnsi="Calibri" w:cs="Calibri"/>
          <w:color w:val="000000" w:themeColor="text1"/>
          <w:sz w:val="22"/>
          <w:szCs w:val="22"/>
          <w:vertAlign w:val="superscript"/>
        </w:rPr>
        <w:t>a</w:t>
      </w:r>
      <w:r w:rsidRPr="00E45C3D">
        <w:rPr>
          <w:rFonts w:ascii="Calibri" w:hAnsi="Calibri" w:cs="Calibri"/>
          <w:color w:val="000000" w:themeColor="text1"/>
          <w:sz w:val="22"/>
          <w:szCs w:val="22"/>
        </w:rPr>
        <w:t xml:space="preserve">Department of Pharmacy and Biotechnology, University of Bologna, Via Belmeloro 6, 40126,  Bologna, Italy; </w:t>
      </w:r>
      <w:r w:rsidRPr="00E45C3D">
        <w:rPr>
          <w:rFonts w:ascii="Calibri" w:hAnsi="Calibri" w:cs="Calibri"/>
          <w:color w:val="000000" w:themeColor="text1"/>
          <w:sz w:val="22"/>
          <w:szCs w:val="22"/>
          <w:vertAlign w:val="superscript"/>
        </w:rPr>
        <w:t xml:space="preserve"> b</w:t>
      </w:r>
      <w:r w:rsidRPr="00E45C3D">
        <w:rPr>
          <w:rFonts w:ascii="Calibri" w:hAnsi="Calibri" w:cs="Calibri"/>
          <w:color w:val="000000" w:themeColor="text1"/>
          <w:sz w:val="22"/>
          <w:szCs w:val="22"/>
        </w:rPr>
        <w:t xml:space="preserve">Department of Biomolecular Sciences, University of Urbino Carlo Bo, Piazza Rinascimento 6, 61029, Urbino, Italy. </w:t>
      </w:r>
      <w:r w:rsidRPr="00E45C3D">
        <w:rPr>
          <w:rFonts w:ascii="Calibri" w:hAnsi="Calibri" w:cs="Calibri"/>
          <w:color w:val="000000" w:themeColor="text1"/>
          <w:sz w:val="22"/>
          <w:szCs w:val="22"/>
          <w:vertAlign w:val="superscript"/>
        </w:rPr>
        <w:t>c</w:t>
      </w:r>
      <w:r w:rsidRPr="00E45C3D">
        <w:rPr>
          <w:rFonts w:ascii="Calibri" w:hAnsi="Calibri" w:cs="Calibri"/>
          <w:color w:val="000000" w:themeColor="text1"/>
          <w:sz w:val="22"/>
          <w:szCs w:val="22"/>
        </w:rPr>
        <w:t>Institute of Clinical Sciences, University of Birmingham, , Edgbaston, B15 2TT  Birmingham (UK).</w:t>
      </w:r>
    </w:p>
    <w:p w14:paraId="05B538EB" w14:textId="14A18A91" w:rsidR="00A83EE9" w:rsidRPr="00E45C3D" w:rsidRDefault="00000000" w:rsidP="00A83EE9">
      <w:pPr>
        <w:spacing w:line="264" w:lineRule="auto"/>
        <w:jc w:val="center"/>
        <w:rPr>
          <w:rFonts w:ascii="Calibri" w:hAnsi="Calibri" w:cs="Calibri"/>
          <w:color w:val="000000" w:themeColor="text1"/>
          <w:sz w:val="22"/>
          <w:szCs w:val="22"/>
          <w:lang w:val="en-GB"/>
        </w:rPr>
      </w:pPr>
      <w:hyperlink r:id="rId14" w:history="1">
        <w:r w:rsidR="00A83EE9" w:rsidRPr="00E45C3D">
          <w:rPr>
            <w:rStyle w:val="Hyperlink"/>
            <w:rFonts w:ascii="Calibri" w:hAnsi="Calibri" w:cs="Calibri"/>
            <w:sz w:val="22"/>
            <w:szCs w:val="22"/>
            <w:lang w:val="en-GB"/>
          </w:rPr>
          <w:t>dominga.evangelista2@unibo.it</w:t>
        </w:r>
      </w:hyperlink>
      <w:r w:rsidR="00A83EE9" w:rsidRPr="00E45C3D">
        <w:rPr>
          <w:rFonts w:ascii="Calibri" w:hAnsi="Calibri" w:cs="Calibri"/>
          <w:color w:val="000000" w:themeColor="text1"/>
          <w:sz w:val="22"/>
          <w:szCs w:val="22"/>
          <w:lang w:val="en-GB"/>
        </w:rPr>
        <w:t xml:space="preserve">  </w:t>
      </w:r>
    </w:p>
    <w:p w14:paraId="02856CF8" w14:textId="77777777" w:rsidR="00A83EE9" w:rsidRPr="00E45C3D" w:rsidRDefault="00A83EE9" w:rsidP="00A83EE9">
      <w:pPr>
        <w:spacing w:line="264" w:lineRule="auto"/>
        <w:jc w:val="center"/>
        <w:rPr>
          <w:rFonts w:ascii="Calibri" w:hAnsi="Calibri" w:cs="Calibri"/>
          <w:color w:val="000000" w:themeColor="text1"/>
          <w:sz w:val="22"/>
          <w:szCs w:val="22"/>
          <w:lang w:val="en-GB"/>
        </w:rPr>
      </w:pPr>
    </w:p>
    <w:p w14:paraId="14555548" w14:textId="77777777" w:rsidR="00A83EE9" w:rsidRPr="00E45C3D" w:rsidRDefault="00A83EE9" w:rsidP="00A83EE9">
      <w:pPr>
        <w:spacing w:line="264" w:lineRule="auto"/>
        <w:jc w:val="both"/>
        <w:rPr>
          <w:rFonts w:ascii="Calibri" w:hAnsi="Calibri" w:cs="Calibri"/>
          <w:color w:val="000000" w:themeColor="text1"/>
        </w:rPr>
      </w:pPr>
      <w:r w:rsidRPr="00E45C3D">
        <w:rPr>
          <w:rFonts w:ascii="Calibri" w:hAnsi="Calibri" w:cs="Calibri"/>
          <w:color w:val="000000" w:themeColor="text1"/>
        </w:rPr>
        <w:t>Assessing Persistence, Bioaccumulation, and Toxicity (PBT) is crucial for understanding the potential risk associated to the release of chemicals in the environment. While PBT screening remains challenging due to limited and low-quality data, it can be expressed through the PBT index using traditional QSPR models based on structural molecular descriptors.</w:t>
      </w:r>
      <w:r w:rsidRPr="00E45C3D">
        <w:rPr>
          <w:rFonts w:ascii="Calibri" w:hAnsi="Calibri" w:cs="Calibri"/>
          <w:color w:val="000000" w:themeColor="text1"/>
        </w:rPr>
        <w:fldChar w:fldCharType="begin" w:fldLock="1"/>
      </w:r>
      <w:r w:rsidRPr="00E45C3D">
        <w:rPr>
          <w:rFonts w:ascii="Calibri" w:hAnsi="Calibri" w:cs="Calibri"/>
          <w:color w:val="000000" w:themeColor="text1"/>
        </w:rPr>
        <w:instrText>ADDIN CSL_CITATION {"citationItems":[{"id":"ITEM-1","itemData":{"DOI":"10.1039/b923843c","ISSN":"14639270","abstract":"The chemicals that are jointly Persistent, Bioaccumulative and Toxic (PBT) are substances of very high concern (SVHC) and subject to an authorization step in the new European REACH regulation, which includes plans for safer substitutions of recognized hazardous compounds. The limited availability of experimental data necessary for the hazard/risk assessment of chemicals and the expected high costs have increased the interest, also in REACH, for alternative predictive in silico methods, such as Quantitative Structure–Activity (Property) Relationships (QSA(P)Rs). A structurally-based approach is proposed here for a holistic screening of potential PBTs in the environment. Persistence, bioconcentration and toxicity data available for a set of 180 organic chemicals, some of which are known PBTs, have been combined in a multivariate approach by Principal Component Analysis. This method is applied to rank the studied compounds according to their cumulative PBT behaviour; this ranking can be defined as a PBT Index. A simple, robust and externally predictive QSPR multiple linear regression model (MLR), which is based on four molecular descriptors, has been developed for the PBT Index. This QSPR model is proposed as a hazard screening tool, applicable also by regulators, for the early identification and prioritization of not yet known PBTs, only on the basis of the knowledge of their molecular structure. New, safer chemicals can be designed as alternatives to hazardous PBT chemicals by applying the proposed QSPR model, according to the green chemistry philosophy of “benign by design”. A consensus approach is also proposed from the comparison of the results obtained by different screening methods. © 2010 The Royal Society of Chemistry.","author":[{"dropping-particle":"","family":"Papa","given":"Ester","non-dropping-particle":"","parse-names":false,"suffix":""},{"dropping-particle":"","family":"Gramatica","given":"Paola","non-dropping-particle":"","parse-names":false,"suffix":""}],"container-title":"Green Chemistry","id":"ITEM-1","issue":"5","issued":{"date-parts":[["2010"]]},"page":"836-84","title":"QSPR as a support for the EU REACH regulation and rational design of environmentally safer chemicals: PBT identification from molecular structure","type":"article-journal","volume":"12"},"uris":["http://www.mendeley.com/documents/?uuid=7913f240-3e8a-4c68-8530-1be1b4fa63b2"]}],"mendeley":{"formattedCitation":"&lt;sup&gt;1&lt;/sup&gt;","plainTextFormattedCitation":"1","previouslyFormattedCitation":"&lt;sup&gt;1&lt;/sup&gt;"},"properties":{"noteIndex":0},"schema":"https://github.com/citation-style-language/schema/raw/master/csl-citation.json"}</w:instrText>
      </w:r>
      <w:r w:rsidRPr="00E45C3D">
        <w:rPr>
          <w:rFonts w:ascii="Calibri" w:hAnsi="Calibri" w:cs="Calibri"/>
          <w:color w:val="000000" w:themeColor="text1"/>
        </w:rPr>
        <w:fldChar w:fldCharType="separate"/>
      </w:r>
      <w:r w:rsidRPr="00E45C3D">
        <w:rPr>
          <w:rFonts w:ascii="Calibri" w:hAnsi="Calibri" w:cs="Calibri"/>
          <w:color w:val="000000" w:themeColor="text1"/>
          <w:vertAlign w:val="superscript"/>
        </w:rPr>
        <w:t>1</w:t>
      </w:r>
      <w:r w:rsidRPr="00E45C3D">
        <w:rPr>
          <w:rFonts w:ascii="Calibri" w:hAnsi="Calibri" w:cs="Calibri"/>
          <w:color w:val="000000" w:themeColor="text1"/>
          <w:lang w:val="pt-PT"/>
        </w:rPr>
        <w:fldChar w:fldCharType="end"/>
      </w:r>
      <w:r w:rsidRPr="00E45C3D">
        <w:rPr>
          <w:rFonts w:ascii="Calibri" w:hAnsi="Calibri" w:cs="Calibri"/>
          <w:color w:val="000000" w:themeColor="text1"/>
        </w:rPr>
        <w:t xml:space="preserve"> However, these models' accuracy decreases with large, heterogeneous datasets. This project aims to predict the PBT index of pharmaceutically relevant molecules using advanced deep learning (DL), specifically Chemprop, a message passing neural network (MPNN).</w:t>
      </w:r>
      <w:r w:rsidRPr="00E45C3D">
        <w:rPr>
          <w:rFonts w:ascii="Calibri" w:hAnsi="Calibri" w:cs="Calibri"/>
          <w:color w:val="000000" w:themeColor="text1"/>
        </w:rPr>
        <w:fldChar w:fldCharType="begin" w:fldLock="1"/>
      </w:r>
      <w:r w:rsidRPr="00E45C3D">
        <w:rPr>
          <w:rFonts w:ascii="Calibri" w:hAnsi="Calibri" w:cs="Calibri"/>
          <w:color w:val="000000" w:themeColor="text1"/>
        </w:rPr>
        <w:instrText>ADDIN CSL_CITATION {"citationItems":[{"id":"ITEM-1","itemData":{"DOI":"10.1021/acs.jcim.3c01250","ISSN":"1549960X","PMID":"38147829","abstract":"Deep learning has become a powerful and frequently employed tool for the prediction of molecular properties, thus creating a need for open-source and versatile software solutions that can be operated by nonexperts. Among the current approaches, directed message-passing neural networks (D-MPNNs) have proven to perform well on a variety of property prediction tasks. The software package Chemprop implements the D-MPNN architecture and offers simple, easy, and fast access to machine-learned molecular properties. Compared to its initial version, we present a multitude of new Chemprop functionalities such as the support of multimolecule properties, reactions, atom/bond-level properties, and spectra. Further, we incorporate various uncertainty quantification and calibration methods along with related metrics as well as pretraining and transfer learning workflows, improved hyperparameter optimization, and other customization options concerning loss functions or atom/bond features. We benchmark D-MPNN models trained using Chemprop with the new reaction, atom-level, and spectra functionality on a variety of property prediction data sets, including MoleculeNet and SAMPL, and observe state-of-the-art performance on the prediction of water-octanol partition coefficients, reaction barrier heights, atomic partial charges, and absorption spectra. Chemprop enables out-of-the-box training of D-MPNN models for a variety of problem settings in fast, user-friendly, and open-source software.","author":[{"dropping-particle":"","family":"Heid","given":"Esther","non-dropping-particle":"","parse-names":false,"suffix":""},{"dropping-particle":"","family":"Greenman","given":"Kevin P.","non-dropping-particle":"","parse-names":false,"suffix":""},{"dropping-particle":"","family":"Chung","given":"Yunsie","non-dropping-particle":"","parse-names":false,"suffix":""},{"dropping-particle":"","family":"Li","given":"Shih Cheng","non-dropping-particle":"","parse-names":false,"suffix":""},{"dropping-particle":"","family":"Graff","given":"David E.","non-dropping-particle":"","parse-names":false,"suffix":""},{"dropping-particle":"","family":"Vermeire","given":"Florence H.","non-dropping-particle":"","parse-names":false,"suffix":""},{"dropping-particle":"","family":"Wu","given":"Haoyang","non-dropping-particle":"","parse-names":false,"suffix":""},{"dropping-particle":"","family":"Green","given":"William H.","non-dropping-particle":"","parse-names":false,"suffix":""},{"dropping-particle":"","family":"McGill","given":"Charles J.","non-dropping-particle":"","parse-names":false,"suffix":""}],"container-title":"Journal of Chemical Information and Modeling","id":"ITEM-1","issue":"1","issued":{"date-parts":[["2024"]]},"page":"9-17","title":"Chemprop: A Machine Learning Package for Chemical Property Prediction","type":"article-journal","volume":"64"},"uris":["http://www.mendeley.com/documents/?uuid=14786cd6-6275-4cc7-ba99-15f7cde71ada"]}],"mendeley":{"formattedCitation":"&lt;sup&gt;2&lt;/sup&gt;","plainTextFormattedCitation":"2","previouslyFormattedCitation":"&lt;sup&gt;2&lt;/sup&gt;"},"properties":{"noteIndex":0},"schema":"https://github.com/citation-style-language/schema/raw/master/csl-citation.json"}</w:instrText>
      </w:r>
      <w:r w:rsidRPr="00E45C3D">
        <w:rPr>
          <w:rFonts w:ascii="Calibri" w:hAnsi="Calibri" w:cs="Calibri"/>
          <w:color w:val="000000" w:themeColor="text1"/>
        </w:rPr>
        <w:fldChar w:fldCharType="separate"/>
      </w:r>
      <w:r w:rsidRPr="00E45C3D">
        <w:rPr>
          <w:rFonts w:ascii="Calibri" w:hAnsi="Calibri" w:cs="Calibri"/>
          <w:color w:val="000000" w:themeColor="text1"/>
          <w:vertAlign w:val="superscript"/>
        </w:rPr>
        <w:t>2</w:t>
      </w:r>
      <w:r w:rsidRPr="00E45C3D">
        <w:rPr>
          <w:rFonts w:ascii="Calibri" w:hAnsi="Calibri" w:cs="Calibri"/>
          <w:color w:val="000000" w:themeColor="text1"/>
          <w:lang w:val="pt-PT"/>
        </w:rPr>
        <w:fldChar w:fldCharType="end"/>
      </w:r>
      <w:r w:rsidRPr="00E45C3D">
        <w:rPr>
          <w:rFonts w:ascii="Calibri" w:hAnsi="Calibri" w:cs="Calibri"/>
          <w:color w:val="000000" w:themeColor="text1"/>
        </w:rPr>
        <w:t xml:space="preserve"> We assembled a comprehensive dataset from public agencies, resulting in 5,129 molecules clearly labeled as PBT or non-PBT after removing ambiguous and duplicate compounds. The training set was used to train a binary classification model that assigns each compound a PBT or non-PBT label based on features extracted from its structure. Once trained, the model was used to make predictions on the test set. We further enhanced the robustness of our PBT prediction model by increasing structural dissimilarity between training set and test set molecules by means of a clustering strategy.  When applied to the test set, the figures of merit show how the model achieved an accuracy of 0.90, and a recall rate of 0.92. Overall, this study highlights the potential of DL models for predicting PBT properties,  thereby focusing on enhancing model’s generalizability. Moreover, using  </w:t>
      </w:r>
      <w:r w:rsidRPr="00E45C3D">
        <w:rPr>
          <w:rFonts w:ascii="Calibri" w:hAnsi="Calibri" w:cs="Calibri"/>
          <w:color w:val="000000" w:themeColor="text1"/>
          <w:lang w:val="en-GB"/>
        </w:rPr>
        <w:t>Chemprop’s built-in ‘interpret’ function</w:t>
      </w:r>
      <w:r w:rsidRPr="00E45C3D">
        <w:rPr>
          <w:rFonts w:ascii="Calibri" w:hAnsi="Calibri" w:cs="Calibri"/>
          <w:color w:val="000000" w:themeColor="text1"/>
        </w:rPr>
        <w:t>,</w:t>
      </w:r>
      <w:r w:rsidRPr="00E45C3D">
        <w:rPr>
          <w:rFonts w:ascii="Calibri" w:hAnsi="Calibri" w:cs="Calibri"/>
          <w:color w:val="000000" w:themeColor="text1"/>
        </w:rPr>
        <w:fldChar w:fldCharType="begin" w:fldLock="1"/>
      </w:r>
      <w:r w:rsidRPr="00E45C3D">
        <w:rPr>
          <w:rFonts w:ascii="Calibri" w:hAnsi="Calibri" w:cs="Calibri"/>
          <w:color w:val="000000" w:themeColor="text1"/>
        </w:rPr>
        <w:instrText>ADDIN CSL_CITATION {"citationItems":[{"id":"ITEM-1","itemData":{"DOI":"10.1021/acs.jcim.3c01250","ISSN":"1549960X","PMID":"38147829","abstract":"Deep learning has become a powerful and frequently employed tool for the prediction of molecular properties, thus creating a need for open-source and versatile software solutions that can be operated by nonexperts. Among the current approaches, directed message-passing neural networks (D-MPNNs) have proven to perform well on a variety of property prediction tasks. The software package Chemprop implements the D-MPNN architecture and offers simple, easy, and fast access to machine-learned molecular properties. Compared to its initial version, we present a multitude of new Chemprop functionalities such as the support of multimolecule properties, reactions, atom/bond-level properties, and spectra. Further, we incorporate various uncertainty quantification and calibration methods along with related metrics as well as pretraining and transfer learning workflows, improved hyperparameter optimization, and other customization options concerning loss functions or atom/bond features. We benchmark D-MPNN models trained using Chemprop with the new reaction, atom-level, and spectra functionality on a variety of property prediction data sets, including MoleculeNet and SAMPL, and observe state-of-the-art performance on the prediction of water-octanol partition coefficients, reaction barrier heights, atomic partial charges, and absorption spectra. Chemprop enables out-of-the-box training of D-MPNN models for a variety of problem settings in fast, user-friendly, and open-source software.","author":[{"dropping-particle":"","family":"Heid","given":"Esther","non-dropping-particle":"","parse-names":false,"suffix":""},{"dropping-particle":"","family":"Greenman","given":"Kevin P.","non-dropping-particle":"","parse-names":false,"suffix":""},{"dropping-particle":"","family":"Chung","given":"Yunsie","non-dropping-particle":"","parse-names":false,"suffix":""},{"dropping-particle":"","family":"Li","given":"Shih Cheng","non-dropping-particle":"","parse-names":false,"suffix":""},{"dropping-particle":"","family":"Graff","given":"David E.","non-dropping-particle":"","parse-names":false,"suffix":""},{"dropping-particle":"","family":"Vermeire","given":"Florence H.","non-dropping-particle":"","parse-names":false,"suffix":""},{"dropping-particle":"","family":"Wu","given":"Haoyang","non-dropping-particle":"","parse-names":false,"suffix":""},{"dropping-particle":"","family":"Green","given":"William H.","non-dropping-particle":"","parse-names":false,"suffix":""},{"dropping-particle":"","family":"McGill","given":"Charles J.","non-dropping-particle":"","parse-names":false,"suffix":""}],"container-title":"Journal of Chemical Information and Modeling","id":"ITEM-1","issue":"1","issued":{"date-parts":[["2024"]]},"page":"9-17","title":"Chemprop: A Machine Learning Package for Chemical Property Prediction","type":"article-journal","volume":"64"},"uris":["http://www.mendeley.com/documents/?uuid=14786cd6-6275-4cc7-ba99-15f7cde71ada"]}],"mendeley":{"formattedCitation":"&lt;sup&gt;2&lt;/sup&gt;","plainTextFormattedCitation":"2","previouslyFormattedCitation":"&lt;sup&gt;2&lt;/sup&gt;"},"properties":{"noteIndex":0},"schema":"https://github.com/citation-style-language/schema/raw/master/csl-citation.json"}</w:instrText>
      </w:r>
      <w:r w:rsidRPr="00E45C3D">
        <w:rPr>
          <w:rFonts w:ascii="Calibri" w:hAnsi="Calibri" w:cs="Calibri"/>
          <w:color w:val="000000" w:themeColor="text1"/>
        </w:rPr>
        <w:fldChar w:fldCharType="separate"/>
      </w:r>
      <w:r w:rsidRPr="00E45C3D">
        <w:rPr>
          <w:rFonts w:ascii="Calibri" w:hAnsi="Calibri" w:cs="Calibri"/>
          <w:color w:val="000000" w:themeColor="text1"/>
          <w:vertAlign w:val="superscript"/>
        </w:rPr>
        <w:t>2</w:t>
      </w:r>
      <w:r w:rsidRPr="00E45C3D">
        <w:rPr>
          <w:rFonts w:ascii="Calibri" w:hAnsi="Calibri" w:cs="Calibri"/>
          <w:color w:val="000000" w:themeColor="text1"/>
          <w:lang w:val="pt-PT"/>
        </w:rPr>
        <w:fldChar w:fldCharType="end"/>
      </w:r>
      <w:r w:rsidRPr="00E45C3D">
        <w:rPr>
          <w:rFonts w:ascii="Calibri" w:hAnsi="Calibri" w:cs="Calibri"/>
          <w:color w:val="000000" w:themeColor="text1"/>
        </w:rPr>
        <w:t xml:space="preserve"> we are able to extract </w:t>
      </w:r>
      <w:r w:rsidRPr="00E45C3D">
        <w:rPr>
          <w:rFonts w:ascii="Calibri" w:hAnsi="Calibri" w:cs="Calibri"/>
          <w:color w:val="000000" w:themeColor="text1"/>
          <w:lang w:val="en-GB"/>
        </w:rPr>
        <w:t xml:space="preserve">PBT-related significant substructures </w:t>
      </w:r>
      <w:r w:rsidRPr="00E45C3D">
        <w:rPr>
          <w:rFonts w:ascii="Calibri" w:hAnsi="Calibri" w:cs="Calibri"/>
          <w:color w:val="000000" w:themeColor="text1"/>
        </w:rPr>
        <w:t xml:space="preserve">that are responsible for the PBT prediction in order to provide </w:t>
      </w:r>
      <w:r w:rsidRPr="00E45C3D">
        <w:rPr>
          <w:rFonts w:ascii="Calibri" w:hAnsi="Calibri" w:cs="Calibri"/>
          <w:color w:val="000000" w:themeColor="text1"/>
          <w:lang w:val="en-GB"/>
        </w:rPr>
        <w:t xml:space="preserve">guarantees of model explainability for the PBT assessment. </w:t>
      </w:r>
      <w:r w:rsidRPr="00E45C3D">
        <w:rPr>
          <w:rFonts w:ascii="Calibri" w:hAnsi="Calibri" w:cs="Calibri"/>
          <w:color w:val="000000" w:themeColor="text1"/>
        </w:rPr>
        <w:t xml:space="preserve"> Lastly, a dataset of compounds of pharmaceutical interest will be tested to the proposed model in order to identify potential PBTs among pharmaceuticals defined as contaminants  of emerging concern.</w:t>
      </w:r>
      <w:r w:rsidRPr="00E45C3D">
        <w:rPr>
          <w:rFonts w:ascii="Calibri" w:hAnsi="Calibri" w:cs="Calibri"/>
          <w:color w:val="000000" w:themeColor="text1"/>
        </w:rPr>
        <w:fldChar w:fldCharType="begin" w:fldLock="1"/>
      </w:r>
      <w:r w:rsidRPr="00E45C3D">
        <w:rPr>
          <w:rFonts w:ascii="Calibri" w:hAnsi="Calibri" w:cs="Calibri"/>
          <w:color w:val="000000" w:themeColor="text1"/>
        </w:rPr>
        <w:instrText>ADDIN CSL_CITATION {"citationItems":[{"id":"ITEM-1","itemData":{"DOI":"10.1021/acs.chemrev.8b00299","ISSN":"15206890","PMID":"30830758","abstract":"In the last few decades, pharmaceuticals, credited with saving millions of lives, have emerged as a new class of environmental contaminant. These compounds can have both chronic and acute harmful effects on natural flora and fauna. The presence of pharmaceutical contaminants in ground waters, surface waters (lakes, rivers, and streams), sea water, wastewater treatment plants (influents and effluents), soils, and sludges has been well doccumented. A range of methods including oxidation, photolysis, UV-degradation, nanofiltration, reverse osmosis, and adsorption has been used for their remediation from aqueous systems. Many methods have been commercially limited by toxic sludge generation, incomplete removal, high capital and operating costs, and the need for skilled operating and maintenance personnel. Adsorption technologies are a low-cost alternative, easily used in developing countries where there is a dearth of advanced technologies, skilled personnel, and available capital, and adsorption appears to be the most broadly feasible pharmaceutical removal method. Adsorption remediation methods are easily integrated with wastewater treatment plants (WWTPs). Herein, we have reviewed the literature (1990-2018) illustrating the rising environmental pharmaceutical contamination concerns as well as remediation efforts emphasizing adsorption.","author":[{"dropping-particle":"","family":"Patel","given":"Manvendra","non-dropping-particle":"","parse-names":false,"suffix":""},{"dropping-particle":"","family":"Kumar","given":"Rahul","non-dropping-particle":"","parse-names":false,"suffix":""},{"dropping-particle":"","family":"Kishor","given":"Kamal","non-dropping-particle":"","parse-names":false,"suffix":""},{"dropping-particle":"","family":"Mlsna","given":"Todd","non-dropping-particle":"","parse-names":false,"suffix":""},{"dropping-particle":"","family":"Pittman","given":"Charles U.","non-dropping-particle":"","parse-names":false,"suffix":""},{"dropping-particle":"","family":"Mohan","given":"Dinesh","non-dropping-particle":"","parse-names":false,"suffix":""}],"container-title":"Chemical Reviews","id":"ITEM-1","issue":"6","issued":{"date-parts":[["2019"]]},"page":"3510-3673","title":"Pharmaceuticals of emerging concern in aquatic systems: Chemistry, occurrence, effects, and removal methods","type":"article-journal","volume":"119"},"uris":["http://www.mendeley.com/documents/?uuid=421535c6-0ef8-443a-96c9-d3b5d28d5778"]}],"mendeley":{"formattedCitation":"&lt;sup&gt;3&lt;/sup&gt;","plainTextFormattedCitation":"3"},"properties":{"noteIndex":0},"schema":"https://github.com/citation-style-language/schema/raw/master/csl-citation.json"}</w:instrText>
      </w:r>
      <w:r w:rsidRPr="00E45C3D">
        <w:rPr>
          <w:rFonts w:ascii="Calibri" w:hAnsi="Calibri" w:cs="Calibri"/>
          <w:color w:val="000000" w:themeColor="text1"/>
        </w:rPr>
        <w:fldChar w:fldCharType="separate"/>
      </w:r>
      <w:r w:rsidRPr="00E45C3D">
        <w:rPr>
          <w:rFonts w:ascii="Calibri" w:hAnsi="Calibri" w:cs="Calibri"/>
          <w:color w:val="000000" w:themeColor="text1"/>
          <w:vertAlign w:val="superscript"/>
        </w:rPr>
        <w:t>3</w:t>
      </w:r>
      <w:r w:rsidRPr="00E45C3D">
        <w:rPr>
          <w:rFonts w:ascii="Calibri" w:hAnsi="Calibri" w:cs="Calibri"/>
          <w:color w:val="000000" w:themeColor="text1"/>
          <w:lang w:val="pt-PT"/>
        </w:rPr>
        <w:fldChar w:fldCharType="end"/>
      </w:r>
    </w:p>
    <w:p w14:paraId="28B570B1" w14:textId="77777777" w:rsidR="00A83EE9" w:rsidRPr="00A83EE9" w:rsidRDefault="00A83EE9" w:rsidP="00A83EE9">
      <w:pPr>
        <w:spacing w:line="264" w:lineRule="auto"/>
        <w:jc w:val="both"/>
        <w:rPr>
          <w:rFonts w:ascii="Calibri" w:hAnsi="Calibri" w:cs="Calibri"/>
          <w:color w:val="000000" w:themeColor="text1"/>
          <w:sz w:val="22"/>
          <w:szCs w:val="22"/>
        </w:rPr>
      </w:pPr>
    </w:p>
    <w:p w14:paraId="53B0FF5B" w14:textId="77777777" w:rsidR="00A83EE9" w:rsidRPr="00A83EE9" w:rsidRDefault="00A83EE9" w:rsidP="00A83EE9">
      <w:pPr>
        <w:spacing w:line="264" w:lineRule="auto"/>
        <w:jc w:val="both"/>
        <w:rPr>
          <w:rFonts w:ascii="Calibri" w:hAnsi="Calibri" w:cs="Calibri"/>
          <w:b/>
          <w:bCs/>
          <w:color w:val="000000" w:themeColor="text1"/>
          <w:sz w:val="22"/>
          <w:szCs w:val="22"/>
        </w:rPr>
      </w:pPr>
      <w:r w:rsidRPr="00A83EE9">
        <w:rPr>
          <w:rFonts w:ascii="Calibri" w:hAnsi="Calibri" w:cs="Calibri"/>
          <w:b/>
          <w:bCs/>
          <w:color w:val="000000" w:themeColor="text1"/>
          <w:sz w:val="22"/>
          <w:szCs w:val="22"/>
        </w:rPr>
        <w:t>References:</w:t>
      </w:r>
    </w:p>
    <w:p w14:paraId="484123B8" w14:textId="77777777" w:rsidR="00A83EE9" w:rsidRPr="00A83EE9" w:rsidRDefault="00A83EE9" w:rsidP="00A83EE9">
      <w:pPr>
        <w:spacing w:line="264" w:lineRule="auto"/>
        <w:jc w:val="both"/>
        <w:rPr>
          <w:rFonts w:ascii="Calibri" w:hAnsi="Calibri" w:cs="Calibri"/>
          <w:color w:val="000000" w:themeColor="text1"/>
          <w:sz w:val="22"/>
          <w:szCs w:val="22"/>
        </w:rPr>
      </w:pPr>
      <w:r w:rsidRPr="00A83EE9">
        <w:rPr>
          <w:rFonts w:ascii="Calibri" w:hAnsi="Calibri" w:cs="Calibri"/>
          <w:color w:val="000000" w:themeColor="text1"/>
          <w:sz w:val="22"/>
          <w:szCs w:val="22"/>
        </w:rPr>
        <w:t>[</w:t>
      </w:r>
      <w:r w:rsidRPr="00A83EE9">
        <w:rPr>
          <w:rFonts w:ascii="Calibri" w:hAnsi="Calibri" w:cs="Calibri"/>
          <w:color w:val="000000" w:themeColor="text1"/>
          <w:sz w:val="22"/>
          <w:szCs w:val="22"/>
          <w:lang w:val="it-IT"/>
        </w:rPr>
        <w:fldChar w:fldCharType="begin" w:fldLock="1"/>
      </w:r>
      <w:r w:rsidRPr="00A83EE9">
        <w:rPr>
          <w:rFonts w:ascii="Calibri" w:hAnsi="Calibri" w:cs="Calibri"/>
          <w:color w:val="000000" w:themeColor="text1"/>
          <w:sz w:val="22"/>
          <w:szCs w:val="22"/>
        </w:rPr>
        <w:instrText xml:space="preserve">ADDIN Mendeley Bibliography CSL_BIBLIOGRAPHY </w:instrText>
      </w:r>
      <w:r w:rsidRPr="00A83EE9">
        <w:rPr>
          <w:rFonts w:ascii="Calibri" w:hAnsi="Calibri" w:cs="Calibri"/>
          <w:color w:val="000000" w:themeColor="text1"/>
          <w:sz w:val="22"/>
          <w:szCs w:val="22"/>
          <w:lang w:val="it-IT"/>
        </w:rPr>
        <w:fldChar w:fldCharType="separate"/>
      </w:r>
      <w:r w:rsidRPr="00A83EE9">
        <w:rPr>
          <w:rFonts w:ascii="Calibri" w:hAnsi="Calibri" w:cs="Calibri"/>
          <w:color w:val="000000" w:themeColor="text1"/>
          <w:sz w:val="22"/>
          <w:szCs w:val="22"/>
        </w:rPr>
        <w:t xml:space="preserve">1] Papa, E. &amp; Gramatica, P. QSPR as a support for the EU REACH regulation and rational design of environmentally safer chemicals: PBT identification from molecular structure. </w:t>
      </w:r>
      <w:r w:rsidRPr="00A83EE9">
        <w:rPr>
          <w:rFonts w:ascii="Calibri" w:hAnsi="Calibri" w:cs="Calibri"/>
          <w:i/>
          <w:iCs/>
          <w:color w:val="000000" w:themeColor="text1"/>
          <w:sz w:val="22"/>
          <w:szCs w:val="22"/>
        </w:rPr>
        <w:t>Green Chem.</w:t>
      </w:r>
      <w:r w:rsidRPr="00A83EE9">
        <w:rPr>
          <w:rFonts w:ascii="Calibri" w:hAnsi="Calibri" w:cs="Calibri"/>
          <w:color w:val="000000" w:themeColor="text1"/>
          <w:sz w:val="22"/>
          <w:szCs w:val="22"/>
        </w:rPr>
        <w:t xml:space="preserve"> </w:t>
      </w:r>
      <w:r w:rsidRPr="00A83EE9">
        <w:rPr>
          <w:rFonts w:ascii="Calibri" w:hAnsi="Calibri" w:cs="Calibri"/>
          <w:b/>
          <w:bCs/>
          <w:color w:val="000000" w:themeColor="text1"/>
          <w:sz w:val="22"/>
          <w:szCs w:val="22"/>
        </w:rPr>
        <w:t>12</w:t>
      </w:r>
      <w:r w:rsidRPr="00A83EE9">
        <w:rPr>
          <w:rFonts w:ascii="Calibri" w:hAnsi="Calibri" w:cs="Calibri"/>
          <w:color w:val="000000" w:themeColor="text1"/>
          <w:sz w:val="22"/>
          <w:szCs w:val="22"/>
        </w:rPr>
        <w:t>, 836–84 (2010).</w:t>
      </w:r>
    </w:p>
    <w:p w14:paraId="060425A3" w14:textId="77777777" w:rsidR="00A83EE9" w:rsidRPr="00A83EE9" w:rsidRDefault="00A83EE9" w:rsidP="00A83EE9">
      <w:pPr>
        <w:spacing w:line="264" w:lineRule="auto"/>
        <w:jc w:val="both"/>
        <w:rPr>
          <w:rFonts w:ascii="Calibri" w:hAnsi="Calibri" w:cs="Calibri"/>
          <w:color w:val="000000" w:themeColor="text1"/>
          <w:sz w:val="22"/>
          <w:szCs w:val="22"/>
        </w:rPr>
      </w:pPr>
      <w:r w:rsidRPr="00A83EE9">
        <w:rPr>
          <w:rFonts w:ascii="Calibri" w:hAnsi="Calibri" w:cs="Calibri"/>
          <w:color w:val="000000" w:themeColor="text1"/>
          <w:sz w:val="22"/>
          <w:szCs w:val="22"/>
        </w:rPr>
        <w:t xml:space="preserve">[2] Heid, E. </w:t>
      </w:r>
      <w:r w:rsidRPr="00A83EE9">
        <w:rPr>
          <w:rFonts w:ascii="Calibri" w:hAnsi="Calibri" w:cs="Calibri"/>
          <w:i/>
          <w:iCs/>
          <w:color w:val="000000" w:themeColor="text1"/>
          <w:sz w:val="22"/>
          <w:szCs w:val="22"/>
        </w:rPr>
        <w:t>et al.</w:t>
      </w:r>
      <w:r w:rsidRPr="00A83EE9">
        <w:rPr>
          <w:rFonts w:ascii="Calibri" w:hAnsi="Calibri" w:cs="Calibri"/>
          <w:color w:val="000000" w:themeColor="text1"/>
          <w:sz w:val="22"/>
          <w:szCs w:val="22"/>
        </w:rPr>
        <w:t xml:space="preserve"> Chemprop: A Machine Learning Package for Chemical Property Prediction. </w:t>
      </w:r>
      <w:r w:rsidRPr="00A83EE9">
        <w:rPr>
          <w:rFonts w:ascii="Calibri" w:hAnsi="Calibri" w:cs="Calibri"/>
          <w:i/>
          <w:iCs/>
          <w:color w:val="000000" w:themeColor="text1"/>
          <w:sz w:val="22"/>
          <w:szCs w:val="22"/>
        </w:rPr>
        <w:t>J. Chem. Inf. Model.</w:t>
      </w:r>
      <w:r w:rsidRPr="00A83EE9">
        <w:rPr>
          <w:rFonts w:ascii="Calibri" w:hAnsi="Calibri" w:cs="Calibri"/>
          <w:color w:val="000000" w:themeColor="text1"/>
          <w:sz w:val="22"/>
          <w:szCs w:val="22"/>
        </w:rPr>
        <w:t xml:space="preserve"> </w:t>
      </w:r>
      <w:r w:rsidRPr="00A83EE9">
        <w:rPr>
          <w:rFonts w:ascii="Calibri" w:hAnsi="Calibri" w:cs="Calibri"/>
          <w:b/>
          <w:bCs/>
          <w:color w:val="000000" w:themeColor="text1"/>
          <w:sz w:val="22"/>
          <w:szCs w:val="22"/>
        </w:rPr>
        <w:t>64</w:t>
      </w:r>
      <w:r w:rsidRPr="00A83EE9">
        <w:rPr>
          <w:rFonts w:ascii="Calibri" w:hAnsi="Calibri" w:cs="Calibri"/>
          <w:color w:val="000000" w:themeColor="text1"/>
          <w:sz w:val="22"/>
          <w:szCs w:val="22"/>
        </w:rPr>
        <w:t>, 9–17 (2024).</w:t>
      </w:r>
    </w:p>
    <w:p w14:paraId="68247EE2" w14:textId="77777777" w:rsidR="00A83EE9" w:rsidRPr="00A83EE9" w:rsidRDefault="00A83EE9" w:rsidP="00A83EE9">
      <w:pPr>
        <w:spacing w:line="264" w:lineRule="auto"/>
        <w:jc w:val="both"/>
        <w:rPr>
          <w:rFonts w:ascii="Calibri" w:hAnsi="Calibri" w:cs="Calibri"/>
          <w:color w:val="000000" w:themeColor="text1"/>
          <w:sz w:val="22"/>
          <w:szCs w:val="22"/>
        </w:rPr>
      </w:pPr>
      <w:r w:rsidRPr="00A83EE9">
        <w:rPr>
          <w:rFonts w:ascii="Calibri" w:hAnsi="Calibri" w:cs="Calibri"/>
          <w:color w:val="000000" w:themeColor="text1"/>
          <w:sz w:val="22"/>
          <w:szCs w:val="22"/>
        </w:rPr>
        <w:t xml:space="preserve">[3] Patel, M. </w:t>
      </w:r>
      <w:r w:rsidRPr="00A83EE9">
        <w:rPr>
          <w:rFonts w:ascii="Calibri" w:hAnsi="Calibri" w:cs="Calibri"/>
          <w:i/>
          <w:iCs/>
          <w:color w:val="000000" w:themeColor="text1"/>
          <w:sz w:val="22"/>
          <w:szCs w:val="22"/>
        </w:rPr>
        <w:t>et al.</w:t>
      </w:r>
      <w:r w:rsidRPr="00A83EE9">
        <w:rPr>
          <w:rFonts w:ascii="Calibri" w:hAnsi="Calibri" w:cs="Calibri"/>
          <w:color w:val="000000" w:themeColor="text1"/>
          <w:sz w:val="22"/>
          <w:szCs w:val="22"/>
        </w:rPr>
        <w:t xml:space="preserve"> Pharmaceuticals of emerging concern in aquatic systems: Chemistry, occurrence, effects, and removal methods. </w:t>
      </w:r>
      <w:r w:rsidRPr="00A83EE9">
        <w:rPr>
          <w:rFonts w:ascii="Calibri" w:hAnsi="Calibri" w:cs="Calibri"/>
          <w:i/>
          <w:iCs/>
          <w:color w:val="000000" w:themeColor="text1"/>
          <w:sz w:val="22"/>
          <w:szCs w:val="22"/>
        </w:rPr>
        <w:t>Chem. Rev.</w:t>
      </w:r>
      <w:r w:rsidRPr="00A83EE9">
        <w:rPr>
          <w:rFonts w:ascii="Calibri" w:hAnsi="Calibri" w:cs="Calibri"/>
          <w:color w:val="000000" w:themeColor="text1"/>
          <w:sz w:val="22"/>
          <w:szCs w:val="22"/>
        </w:rPr>
        <w:t xml:space="preserve"> </w:t>
      </w:r>
      <w:r w:rsidRPr="00A83EE9">
        <w:rPr>
          <w:rFonts w:ascii="Calibri" w:hAnsi="Calibri" w:cs="Calibri"/>
          <w:b/>
          <w:bCs/>
          <w:color w:val="000000" w:themeColor="text1"/>
          <w:sz w:val="22"/>
          <w:szCs w:val="22"/>
        </w:rPr>
        <w:t>119</w:t>
      </w:r>
      <w:r w:rsidRPr="00A83EE9">
        <w:rPr>
          <w:rFonts w:ascii="Calibri" w:hAnsi="Calibri" w:cs="Calibri"/>
          <w:color w:val="000000" w:themeColor="text1"/>
          <w:sz w:val="22"/>
          <w:szCs w:val="22"/>
        </w:rPr>
        <w:t>, 3510–3673 (2019).</w:t>
      </w:r>
    </w:p>
    <w:p w14:paraId="231FCB4B" w14:textId="57B7767B" w:rsidR="00A83EE9" w:rsidRPr="00A83EE9" w:rsidRDefault="00A83EE9" w:rsidP="00A83EE9">
      <w:pPr>
        <w:spacing w:line="264" w:lineRule="auto"/>
        <w:jc w:val="both"/>
        <w:rPr>
          <w:rFonts w:ascii="Calibri" w:hAnsi="Calibri" w:cs="Calibri"/>
          <w:color w:val="000000" w:themeColor="text1"/>
          <w:sz w:val="22"/>
          <w:szCs w:val="22"/>
        </w:rPr>
      </w:pPr>
      <w:r w:rsidRPr="00A83EE9">
        <w:rPr>
          <w:rFonts w:ascii="Calibri" w:hAnsi="Calibri" w:cs="Calibri"/>
          <w:color w:val="000000" w:themeColor="text1"/>
          <w:sz w:val="22"/>
          <w:szCs w:val="22"/>
          <w:lang w:val="pt-PT"/>
        </w:rPr>
        <w:fldChar w:fldCharType="end"/>
      </w:r>
    </w:p>
    <w:p w14:paraId="15C6B92A" w14:textId="77777777" w:rsidR="00A83EE9" w:rsidRPr="00A83EE9" w:rsidRDefault="00A83EE9" w:rsidP="00A83EE9">
      <w:pPr>
        <w:spacing w:line="264" w:lineRule="auto"/>
        <w:jc w:val="both"/>
        <w:rPr>
          <w:rFonts w:ascii="Calibri" w:hAnsi="Calibri" w:cs="Calibri"/>
          <w:b/>
          <w:bCs/>
          <w:color w:val="000000" w:themeColor="text1"/>
          <w:sz w:val="22"/>
          <w:szCs w:val="22"/>
        </w:rPr>
      </w:pPr>
      <w:r w:rsidRPr="00A83EE9">
        <w:rPr>
          <w:rFonts w:ascii="Calibri" w:hAnsi="Calibri" w:cs="Calibri"/>
          <w:b/>
          <w:bCs/>
          <w:color w:val="000000" w:themeColor="text1"/>
          <w:sz w:val="22"/>
          <w:szCs w:val="22"/>
        </w:rPr>
        <w:t>Acknowledgment</w:t>
      </w:r>
    </w:p>
    <w:p w14:paraId="03BA4D96" w14:textId="77777777" w:rsidR="00A83EE9" w:rsidRPr="00A83EE9" w:rsidRDefault="00A83EE9" w:rsidP="00A83EE9">
      <w:pPr>
        <w:spacing w:line="264" w:lineRule="auto"/>
        <w:jc w:val="both"/>
        <w:rPr>
          <w:rFonts w:ascii="Calibri" w:hAnsi="Calibri" w:cs="Calibri"/>
          <w:color w:val="000000" w:themeColor="text1"/>
          <w:sz w:val="22"/>
          <w:szCs w:val="22"/>
        </w:rPr>
      </w:pPr>
      <w:r w:rsidRPr="00A83EE9">
        <w:rPr>
          <w:rFonts w:ascii="Calibri" w:hAnsi="Calibri" w:cs="Calibri"/>
          <w:color w:val="000000" w:themeColor="text1"/>
          <w:sz w:val="22"/>
          <w:szCs w:val="22"/>
        </w:rPr>
        <w:t xml:space="preserve">The Authors acknowledge </w:t>
      </w:r>
      <w:r w:rsidRPr="00A83EE9">
        <w:rPr>
          <w:rFonts w:ascii="Calibri" w:hAnsi="Calibri" w:cs="Calibri"/>
          <w:color w:val="000000" w:themeColor="text1"/>
          <w:sz w:val="22"/>
          <w:szCs w:val="22"/>
          <w:lang w:val="en-GB"/>
        </w:rPr>
        <w:t xml:space="preserve">PON “Ricerca e Innovazione” 2014-2020 program </w:t>
      </w:r>
      <w:r w:rsidRPr="00A83EE9">
        <w:rPr>
          <w:rFonts w:ascii="Calibri" w:hAnsi="Calibri" w:cs="Calibri"/>
          <w:color w:val="000000" w:themeColor="text1"/>
          <w:sz w:val="22"/>
          <w:szCs w:val="22"/>
        </w:rPr>
        <w:t>for the financial support.</w:t>
      </w:r>
    </w:p>
    <w:p w14:paraId="1D3F385B" w14:textId="77777777" w:rsidR="00A83EE9" w:rsidRPr="00A83EE9" w:rsidRDefault="00A83EE9" w:rsidP="00A83EE9">
      <w:pPr>
        <w:spacing w:line="264" w:lineRule="auto"/>
        <w:jc w:val="center"/>
        <w:rPr>
          <w:rFonts w:ascii="Calibri" w:hAnsi="Calibri" w:cs="Calibri"/>
          <w:color w:val="000000" w:themeColor="text1"/>
        </w:rPr>
      </w:pPr>
    </w:p>
    <w:p w14:paraId="38ACE57C" w14:textId="1D61ABC4" w:rsidR="0042419C" w:rsidRPr="00CF0E0C" w:rsidRDefault="0042419C" w:rsidP="0042419C">
      <w:pPr>
        <w:spacing w:line="264" w:lineRule="auto"/>
        <w:jc w:val="center"/>
        <w:rPr>
          <w:rFonts w:ascii="Calibri" w:hAnsi="Calibri" w:cs="Calibri"/>
          <w:i/>
          <w:iCs/>
          <w:color w:val="000000" w:themeColor="text1"/>
        </w:rPr>
      </w:pPr>
    </w:p>
    <w:p w14:paraId="70990049" w14:textId="5957DD52" w:rsidR="0042419C" w:rsidRPr="00CF0E0C" w:rsidRDefault="0042419C">
      <w:pPr>
        <w:rPr>
          <w:rFonts w:ascii="Calibri" w:hAnsi="Calibri" w:cs="Calibri"/>
          <w:b/>
          <w:bCs/>
          <w:color w:val="0070C0"/>
        </w:rPr>
      </w:pPr>
      <w:r w:rsidRPr="00CF0E0C">
        <w:rPr>
          <w:rFonts w:ascii="Calibri" w:hAnsi="Calibri" w:cs="Calibri"/>
          <w:b/>
          <w:bCs/>
          <w:color w:val="0070C0"/>
        </w:rPr>
        <w:br w:type="page"/>
      </w:r>
    </w:p>
    <w:p w14:paraId="37213357" w14:textId="77777777" w:rsidR="0042419C" w:rsidRPr="00CF0E0C" w:rsidRDefault="0042419C" w:rsidP="0042419C">
      <w:pPr>
        <w:spacing w:line="264" w:lineRule="auto"/>
        <w:jc w:val="center"/>
        <w:rPr>
          <w:rFonts w:ascii="Calibri" w:hAnsi="Calibri" w:cs="Calibri"/>
          <w:b/>
          <w:bCs/>
          <w:color w:val="000000" w:themeColor="text1"/>
          <w:highlight w:val="yellow"/>
        </w:rPr>
      </w:pPr>
    </w:p>
    <w:p w14:paraId="394D4B19" w14:textId="77777777" w:rsidR="00256501" w:rsidRPr="00256501" w:rsidRDefault="00256501" w:rsidP="00256501">
      <w:pPr>
        <w:spacing w:line="264" w:lineRule="auto"/>
        <w:jc w:val="center"/>
        <w:rPr>
          <w:rFonts w:ascii="Calibri" w:hAnsi="Calibri" w:cs="Calibri"/>
          <w:b/>
          <w:bCs/>
          <w:color w:val="2E74B5" w:themeColor="accent5" w:themeShade="BF"/>
          <w:lang w:val="en-GB"/>
        </w:rPr>
      </w:pPr>
      <w:r w:rsidRPr="00256501">
        <w:rPr>
          <w:rFonts w:ascii="Calibri" w:hAnsi="Calibri" w:cs="Calibri"/>
          <w:b/>
          <w:bCs/>
          <w:color w:val="2E74B5" w:themeColor="accent5" w:themeShade="BF"/>
          <w:lang w:val="en-GB"/>
        </w:rPr>
        <w:t>Integrating Ecotoxicological Profiling and Computational Approaches for Sustainable</w:t>
      </w:r>
    </w:p>
    <w:p w14:paraId="1F45FB44" w14:textId="6546E209" w:rsidR="0042419C" w:rsidRDefault="00256501" w:rsidP="00256501">
      <w:pPr>
        <w:spacing w:line="264" w:lineRule="auto"/>
        <w:jc w:val="center"/>
        <w:rPr>
          <w:rFonts w:ascii="Calibri" w:hAnsi="Calibri" w:cs="Calibri"/>
          <w:b/>
          <w:bCs/>
          <w:color w:val="2E74B5" w:themeColor="accent5" w:themeShade="BF"/>
          <w:lang w:val="en-GB"/>
        </w:rPr>
      </w:pPr>
      <w:r w:rsidRPr="00256501">
        <w:rPr>
          <w:rFonts w:ascii="Calibri" w:hAnsi="Calibri" w:cs="Calibri"/>
          <w:b/>
          <w:bCs/>
          <w:color w:val="2E74B5" w:themeColor="accent5" w:themeShade="BF"/>
          <w:lang w:val="en-GB"/>
        </w:rPr>
        <w:t>Drug Discovery Against Neglected Parasitic Diseases</w:t>
      </w:r>
    </w:p>
    <w:p w14:paraId="2CCC54CB" w14:textId="77777777" w:rsidR="00256501" w:rsidRPr="0042419C" w:rsidRDefault="00256501" w:rsidP="00256501">
      <w:pPr>
        <w:spacing w:line="264" w:lineRule="auto"/>
        <w:jc w:val="center"/>
        <w:rPr>
          <w:rFonts w:ascii="Calibri" w:hAnsi="Calibri" w:cs="Calibri"/>
          <w:b/>
          <w:bCs/>
          <w:color w:val="2E74B5" w:themeColor="accent5" w:themeShade="BF"/>
          <w:lang w:val="en-GB"/>
        </w:rPr>
      </w:pPr>
    </w:p>
    <w:p w14:paraId="6F034FCF" w14:textId="77777777" w:rsidR="00256501" w:rsidRPr="00256501" w:rsidRDefault="00256501" w:rsidP="00256501">
      <w:pPr>
        <w:jc w:val="center"/>
        <w:rPr>
          <w:rFonts w:asciiTheme="minorHAnsi" w:hAnsiTheme="minorHAnsi" w:cstheme="minorHAnsi"/>
        </w:rPr>
      </w:pPr>
      <w:r w:rsidRPr="00256501">
        <w:rPr>
          <w:rFonts w:asciiTheme="minorHAnsi" w:hAnsiTheme="minorHAnsi" w:cstheme="minorHAnsi"/>
          <w:u w:val="single"/>
        </w:rPr>
        <w:t>Aiello, D.</w:t>
      </w:r>
      <w:r w:rsidRPr="00256501">
        <w:rPr>
          <w:rFonts w:asciiTheme="minorHAnsi" w:hAnsiTheme="minorHAnsi" w:cstheme="minorHAnsi"/>
          <w:u w:val="single"/>
          <w:vertAlign w:val="superscript"/>
        </w:rPr>
        <w:t>a</w:t>
      </w:r>
      <w:r w:rsidRPr="00256501">
        <w:rPr>
          <w:rFonts w:asciiTheme="minorHAnsi" w:hAnsiTheme="minorHAnsi" w:cstheme="minorHAnsi"/>
        </w:rPr>
        <w:t xml:space="preserve"> , Bertarini L.</w:t>
      </w:r>
      <w:r w:rsidRPr="00256501">
        <w:rPr>
          <w:rFonts w:asciiTheme="minorHAnsi" w:hAnsiTheme="minorHAnsi" w:cstheme="minorHAnsi"/>
          <w:vertAlign w:val="superscript"/>
        </w:rPr>
        <w:t>a,b</w:t>
      </w:r>
      <w:r w:rsidRPr="00256501">
        <w:rPr>
          <w:rFonts w:asciiTheme="minorHAnsi" w:hAnsiTheme="minorHAnsi" w:cstheme="minorHAnsi"/>
        </w:rPr>
        <w:t xml:space="preserve"> , Tagliazucchi, L.</w:t>
      </w:r>
      <w:r w:rsidRPr="00256501">
        <w:rPr>
          <w:rFonts w:asciiTheme="minorHAnsi" w:hAnsiTheme="minorHAnsi" w:cstheme="minorHAnsi"/>
          <w:vertAlign w:val="superscript"/>
        </w:rPr>
        <w:t>a,b</w:t>
      </w:r>
      <w:r w:rsidRPr="00256501">
        <w:rPr>
          <w:rFonts w:asciiTheme="minorHAnsi" w:hAnsiTheme="minorHAnsi" w:cstheme="minorHAnsi"/>
        </w:rPr>
        <w:t xml:space="preserve">, Malpezzi, G. </w:t>
      </w:r>
      <w:r w:rsidRPr="00256501">
        <w:rPr>
          <w:rFonts w:asciiTheme="minorHAnsi" w:hAnsiTheme="minorHAnsi" w:cstheme="minorHAnsi"/>
          <w:vertAlign w:val="superscript"/>
        </w:rPr>
        <w:t>a,b</w:t>
      </w:r>
      <w:r w:rsidRPr="00256501">
        <w:rPr>
          <w:rFonts w:asciiTheme="minorHAnsi" w:hAnsiTheme="minorHAnsi" w:cstheme="minorHAnsi"/>
        </w:rPr>
        <w:t>, Mazzorana, M</w:t>
      </w:r>
      <w:r w:rsidRPr="00256501">
        <w:rPr>
          <w:rFonts w:asciiTheme="minorHAnsi" w:hAnsiTheme="minorHAnsi" w:cstheme="minorHAnsi"/>
          <w:vertAlign w:val="superscript"/>
        </w:rPr>
        <w:t>c</w:t>
      </w:r>
      <w:r w:rsidRPr="00256501">
        <w:rPr>
          <w:rFonts w:asciiTheme="minorHAnsi" w:hAnsiTheme="minorHAnsi" w:cstheme="minorHAnsi"/>
        </w:rPr>
        <w:t xml:space="preserve"> ., Pozzi, C </w:t>
      </w:r>
      <w:r w:rsidRPr="00256501">
        <w:rPr>
          <w:rFonts w:asciiTheme="minorHAnsi" w:hAnsiTheme="minorHAnsi" w:cstheme="minorHAnsi"/>
          <w:vertAlign w:val="superscript"/>
        </w:rPr>
        <w:t>d</w:t>
      </w:r>
      <w:r w:rsidRPr="00256501">
        <w:rPr>
          <w:rFonts w:asciiTheme="minorHAnsi" w:hAnsiTheme="minorHAnsi" w:cstheme="minorHAnsi"/>
        </w:rPr>
        <w:t xml:space="preserve"> ., Brancale, A.</w:t>
      </w:r>
      <w:r w:rsidRPr="00256501">
        <w:rPr>
          <w:rFonts w:asciiTheme="minorHAnsi" w:hAnsiTheme="minorHAnsi" w:cstheme="minorHAnsi"/>
          <w:vertAlign w:val="superscript"/>
        </w:rPr>
        <w:t xml:space="preserve">e </w:t>
      </w:r>
      <w:r w:rsidRPr="00256501">
        <w:rPr>
          <w:rFonts w:asciiTheme="minorHAnsi" w:hAnsiTheme="minorHAnsi" w:cstheme="minorHAnsi"/>
        </w:rPr>
        <w:t>F. Pellati</w:t>
      </w:r>
      <w:r w:rsidRPr="00256501">
        <w:rPr>
          <w:rFonts w:asciiTheme="minorHAnsi" w:hAnsiTheme="minorHAnsi" w:cstheme="minorHAnsi"/>
          <w:vertAlign w:val="superscript"/>
        </w:rPr>
        <w:t>a</w:t>
      </w:r>
      <w:r w:rsidRPr="00256501">
        <w:rPr>
          <w:rFonts w:asciiTheme="minorHAnsi" w:hAnsiTheme="minorHAnsi" w:cstheme="minorHAnsi"/>
        </w:rPr>
        <w:t xml:space="preserve"> and Costi, M.P.</w:t>
      </w:r>
      <w:r w:rsidRPr="00256501">
        <w:rPr>
          <w:rFonts w:asciiTheme="minorHAnsi" w:hAnsiTheme="minorHAnsi" w:cstheme="minorHAnsi"/>
          <w:vertAlign w:val="superscript"/>
        </w:rPr>
        <w:t>a</w:t>
      </w:r>
      <w:r w:rsidRPr="00256501">
        <w:rPr>
          <w:rFonts w:asciiTheme="minorHAnsi" w:hAnsiTheme="minorHAnsi" w:cstheme="minorHAnsi"/>
        </w:rPr>
        <w:t xml:space="preserve"> </w:t>
      </w:r>
    </w:p>
    <w:p w14:paraId="157AEED7" w14:textId="77777777" w:rsidR="00256501" w:rsidRPr="00E45C3D" w:rsidRDefault="00256501" w:rsidP="00256501">
      <w:pPr>
        <w:jc w:val="center"/>
        <w:rPr>
          <w:rFonts w:asciiTheme="minorHAnsi" w:hAnsiTheme="minorHAnsi" w:cstheme="minorHAnsi"/>
          <w:sz w:val="22"/>
          <w:szCs w:val="22"/>
        </w:rPr>
      </w:pPr>
      <w:r w:rsidRPr="00E45C3D">
        <w:rPr>
          <w:rFonts w:asciiTheme="minorHAnsi" w:hAnsiTheme="minorHAnsi" w:cstheme="minorHAnsi"/>
          <w:sz w:val="22"/>
          <w:szCs w:val="22"/>
          <w:vertAlign w:val="superscript"/>
        </w:rPr>
        <w:t>a</w:t>
      </w:r>
      <w:r w:rsidRPr="00E45C3D">
        <w:rPr>
          <w:rFonts w:asciiTheme="minorHAnsi" w:hAnsiTheme="minorHAnsi" w:cstheme="minorHAnsi"/>
          <w:sz w:val="22"/>
          <w:szCs w:val="22"/>
        </w:rPr>
        <w:t xml:space="preserve">Department of Life Sciences, University of Modena and Reggio Emilia, Via Campi 103, 41225-Modena. </w:t>
      </w:r>
      <w:r w:rsidRPr="00E45C3D">
        <w:rPr>
          <w:rFonts w:asciiTheme="minorHAnsi" w:hAnsiTheme="minorHAnsi" w:cstheme="minorHAnsi"/>
          <w:sz w:val="22"/>
          <w:szCs w:val="22"/>
          <w:vertAlign w:val="superscript"/>
        </w:rPr>
        <w:t>b</w:t>
      </w:r>
      <w:r w:rsidRPr="00E45C3D">
        <w:rPr>
          <w:rFonts w:asciiTheme="minorHAnsi" w:hAnsiTheme="minorHAnsi" w:cstheme="minorHAnsi"/>
          <w:sz w:val="22"/>
          <w:szCs w:val="22"/>
        </w:rPr>
        <w:t xml:space="preserve">Clinical and Experimental Medicine PhD School (CEM), University of Modena and Reggio Emilia, Via Campi 287, 41225-Modena. </w:t>
      </w:r>
      <w:r w:rsidRPr="00E45C3D">
        <w:rPr>
          <w:rFonts w:asciiTheme="minorHAnsi" w:hAnsiTheme="minorHAnsi" w:cstheme="minorHAnsi"/>
          <w:sz w:val="22"/>
          <w:szCs w:val="22"/>
          <w:vertAlign w:val="superscript"/>
        </w:rPr>
        <w:t>c</w:t>
      </w:r>
      <w:r w:rsidRPr="00E45C3D">
        <w:rPr>
          <w:rFonts w:asciiTheme="minorHAnsi" w:hAnsiTheme="minorHAnsi" w:cstheme="minorHAnsi"/>
          <w:sz w:val="22"/>
          <w:szCs w:val="22"/>
        </w:rPr>
        <w:t xml:space="preserve">Diamond Light Source, Harwell Science and Innovation Campus, Didcot, Oxfordshire OX11 0DE, U.K. </w:t>
      </w:r>
      <w:r w:rsidRPr="00E45C3D">
        <w:rPr>
          <w:rFonts w:asciiTheme="minorHAnsi" w:hAnsiTheme="minorHAnsi" w:cstheme="minorHAnsi"/>
          <w:sz w:val="22"/>
          <w:szCs w:val="22"/>
          <w:vertAlign w:val="superscript"/>
        </w:rPr>
        <w:t>d</w:t>
      </w:r>
      <w:r w:rsidRPr="00E45C3D">
        <w:rPr>
          <w:rFonts w:asciiTheme="minorHAnsi" w:hAnsiTheme="minorHAnsi" w:cstheme="minorHAnsi"/>
          <w:sz w:val="22"/>
          <w:szCs w:val="22"/>
        </w:rPr>
        <w:t xml:space="preserve">Department of Biotechnology, Chemistry and Pharmacy, University of Siena, via Aldo Moro 2, 53100 Siena, Italy. </w:t>
      </w:r>
      <w:r w:rsidRPr="00E45C3D">
        <w:rPr>
          <w:rFonts w:asciiTheme="minorHAnsi" w:hAnsiTheme="minorHAnsi" w:cstheme="minorHAnsi"/>
          <w:sz w:val="22"/>
          <w:szCs w:val="22"/>
          <w:vertAlign w:val="superscript"/>
        </w:rPr>
        <w:t>e</w:t>
      </w:r>
      <w:r w:rsidRPr="00E45C3D">
        <w:rPr>
          <w:rFonts w:asciiTheme="minorHAnsi" w:hAnsiTheme="minorHAnsi" w:cstheme="minorHAnsi"/>
          <w:sz w:val="22"/>
          <w:szCs w:val="22"/>
        </w:rPr>
        <w:t xml:space="preserve"> University of Chemistry and Technology, Technická 5, 16628 Prague. </w:t>
      </w:r>
    </w:p>
    <w:p w14:paraId="5A9F141D" w14:textId="017B75A2" w:rsidR="00256501" w:rsidRPr="00E45C3D" w:rsidRDefault="00000000" w:rsidP="00256501">
      <w:pPr>
        <w:jc w:val="center"/>
        <w:rPr>
          <w:rFonts w:asciiTheme="minorHAnsi" w:hAnsiTheme="minorHAnsi" w:cstheme="minorHAnsi"/>
          <w:sz w:val="22"/>
          <w:szCs w:val="22"/>
        </w:rPr>
      </w:pPr>
      <w:hyperlink r:id="rId15" w:history="1">
        <w:r w:rsidR="00256501" w:rsidRPr="00E45C3D">
          <w:rPr>
            <w:rStyle w:val="Hyperlink"/>
            <w:rFonts w:asciiTheme="minorHAnsi" w:hAnsiTheme="minorHAnsi" w:cstheme="minorHAnsi"/>
            <w:sz w:val="22"/>
            <w:szCs w:val="22"/>
          </w:rPr>
          <w:t>daaiello@unimore.it</w:t>
        </w:r>
      </w:hyperlink>
    </w:p>
    <w:p w14:paraId="376055A4" w14:textId="77777777" w:rsidR="00256501" w:rsidRPr="00E45C3D" w:rsidRDefault="00256501" w:rsidP="00256501">
      <w:pPr>
        <w:jc w:val="center"/>
        <w:rPr>
          <w:rFonts w:asciiTheme="minorHAnsi" w:hAnsiTheme="minorHAnsi" w:cstheme="minorHAnsi"/>
          <w:sz w:val="22"/>
          <w:szCs w:val="22"/>
        </w:rPr>
      </w:pPr>
    </w:p>
    <w:p w14:paraId="253FD8E2" w14:textId="77777777" w:rsidR="00256501" w:rsidRPr="00E45C3D" w:rsidRDefault="00256501" w:rsidP="00256501">
      <w:pPr>
        <w:jc w:val="both"/>
        <w:rPr>
          <w:rFonts w:asciiTheme="minorHAnsi" w:hAnsiTheme="minorHAnsi" w:cstheme="minorHAnsi"/>
        </w:rPr>
      </w:pPr>
      <w:r w:rsidRPr="00E45C3D">
        <w:rPr>
          <w:rFonts w:asciiTheme="minorHAnsi" w:hAnsiTheme="minorHAnsi" w:cstheme="minorHAnsi"/>
        </w:rPr>
        <w:t xml:space="preserve">Compounds prioritization in library from different sources represents one of the most important steps of a medicinal chemistry program. Selection &amp; deselection of certain molecules may change the entire program result. This is so important that a huge work of predictive tools and assays have been proposed and used to this aim. Recently, additional parameters were included in the compound selection process, following the greener approaches. This allows more selective and predictively safer compounds to be identified. With this aim, at OneHealthdrugs we have started a metadata search of antiparasitic compounds highly activity against Trypanosoma, Leishmania, Schistosoma, and Babesia. The collected data included information on the presence or absence of specific molecular targets, IC50 and Ki values for these targets, phenotypic IC50, and selectivity against human cell lines. Structural information were also collected. These data were organized into a database developed within the framework of OHD, intended for future studies promoting the One Health concept and environmentally sustainable approaches. The primary objective was to identify scaffolds with antiparasitic activity and favorable ecotoxicological properties. One Health drugs against parasitic vector borne diseases in Europe and beyond OneHealthdrugs Cost Action CA21111 Two case studies were conducted to evaluate the integration of ecotoxicological parameters in compound selection. In the first case, a dataset of compounds derived from virtual screening study towards Leishmania infantum calpain1-4 was analyzed. ADMETLab 3.05 was used to calculate ADME and ecotoxicological properties, including bioconcentration factor (BCF) and hERG inhibition. These parameters, combined with molecular docking scores and MMGBSA ΔG Bind calculations, guided the selection of the most promising compounds. A similar workflow was applied to a second dataset of natural compounds </w:t>
      </w:r>
      <w:r w:rsidRPr="00E45C3D">
        <w:rPr>
          <w:rFonts w:asciiTheme="minorHAnsi" w:hAnsiTheme="minorHAnsi" w:cstheme="minorHAnsi"/>
        </w:rPr>
        <w:lastRenderedPageBreak/>
        <w:t xml:space="preserve">active against Trypanosoma brucei identified during the data collection phase. Both datasets were further analyzed through fingerprint generation, Tanimoto similarity clustering, and scaffold decomposition to identify common structural features. This systematic approach underscores the value of integrating computational tools, ecotoxicological profiling, and structural analysis to advance sustainable drug discovery for neglected parasitic diseases. </w:t>
      </w:r>
    </w:p>
    <w:p w14:paraId="6EE43C28" w14:textId="77777777" w:rsidR="00256501" w:rsidRDefault="00256501" w:rsidP="00256501">
      <w:pPr>
        <w:jc w:val="both"/>
        <w:rPr>
          <w:rFonts w:asciiTheme="minorHAnsi" w:hAnsiTheme="minorHAnsi" w:cstheme="minorHAnsi"/>
          <w:sz w:val="22"/>
          <w:szCs w:val="22"/>
        </w:rPr>
      </w:pPr>
    </w:p>
    <w:p w14:paraId="18E9188C" w14:textId="77777777" w:rsidR="00256501" w:rsidRDefault="00256501" w:rsidP="00256501">
      <w:pPr>
        <w:jc w:val="both"/>
        <w:rPr>
          <w:rFonts w:asciiTheme="minorHAnsi" w:hAnsiTheme="minorHAnsi" w:cstheme="minorHAnsi"/>
          <w:sz w:val="22"/>
          <w:szCs w:val="22"/>
        </w:rPr>
      </w:pPr>
      <w:r w:rsidRPr="00256501">
        <w:rPr>
          <w:rFonts w:asciiTheme="minorHAnsi" w:hAnsiTheme="minorHAnsi" w:cstheme="minorHAnsi"/>
          <w:b/>
          <w:bCs/>
          <w:sz w:val="22"/>
          <w:szCs w:val="22"/>
        </w:rPr>
        <w:t>References</w:t>
      </w:r>
      <w:r w:rsidRPr="00256501">
        <w:rPr>
          <w:rFonts w:asciiTheme="minorHAnsi" w:hAnsiTheme="minorHAnsi" w:cstheme="minorHAnsi"/>
          <w:sz w:val="22"/>
          <w:szCs w:val="22"/>
        </w:rPr>
        <w:t xml:space="preserve"> </w:t>
      </w:r>
    </w:p>
    <w:p w14:paraId="038CA6ED" w14:textId="77777777" w:rsidR="00256501" w:rsidRDefault="00256501" w:rsidP="00256501">
      <w:pPr>
        <w:jc w:val="both"/>
        <w:rPr>
          <w:rFonts w:asciiTheme="minorHAnsi" w:hAnsiTheme="minorHAnsi" w:cstheme="minorHAnsi"/>
          <w:sz w:val="22"/>
          <w:szCs w:val="22"/>
        </w:rPr>
      </w:pPr>
      <w:r w:rsidRPr="00256501">
        <w:rPr>
          <w:rFonts w:asciiTheme="minorHAnsi" w:hAnsiTheme="minorHAnsi" w:cstheme="minorHAnsi"/>
          <w:sz w:val="22"/>
          <w:szCs w:val="22"/>
        </w:rPr>
        <w:t xml:space="preserve">[1] Tagliazucchi et. al. ACS Infectious Diseases Article ASAP. DOI: 10.1021/acsinfecdis.4c00185 [2] Molecular Operating Environment (MOE), 2022.02 Chemical Computing Group ULC, 910- 1010 Sherbrooke St. W., Montreal, QC H3A 2R7, Canada, 2024. </w:t>
      </w:r>
    </w:p>
    <w:p w14:paraId="1FA1B4FF" w14:textId="77777777" w:rsidR="00256501" w:rsidRDefault="00256501" w:rsidP="00256501">
      <w:pPr>
        <w:jc w:val="both"/>
        <w:rPr>
          <w:rFonts w:asciiTheme="minorHAnsi" w:hAnsiTheme="minorHAnsi" w:cstheme="minorHAnsi"/>
          <w:sz w:val="22"/>
          <w:szCs w:val="22"/>
        </w:rPr>
      </w:pPr>
      <w:r w:rsidRPr="00256501">
        <w:rPr>
          <w:rFonts w:asciiTheme="minorHAnsi" w:hAnsiTheme="minorHAnsi" w:cstheme="minorHAnsi"/>
          <w:sz w:val="22"/>
          <w:szCs w:val="22"/>
        </w:rPr>
        <w:t xml:space="preserve">[3] Altschul, S.F., Gish, W., Milleí, W., Myeís, E.W., Lipman, D.J. (1990) “Basic local alignment seaích tool.” J. Mol. Biol. 215:403-410. </w:t>
      </w:r>
    </w:p>
    <w:p w14:paraId="11E6C086" w14:textId="77777777" w:rsidR="00256501" w:rsidRDefault="00256501" w:rsidP="00256501">
      <w:pPr>
        <w:jc w:val="both"/>
        <w:rPr>
          <w:rFonts w:asciiTheme="minorHAnsi" w:hAnsiTheme="minorHAnsi" w:cstheme="minorHAnsi"/>
          <w:sz w:val="22"/>
          <w:szCs w:val="22"/>
        </w:rPr>
      </w:pPr>
      <w:r w:rsidRPr="00256501">
        <w:rPr>
          <w:rFonts w:asciiTheme="minorHAnsi" w:hAnsiTheme="minorHAnsi" w:cstheme="minorHAnsi"/>
          <w:sz w:val="22"/>
          <w:szCs w:val="22"/>
        </w:rPr>
        <w:t xml:space="preserve">[4] Schrödinger Release 2024-1: Maestro, Schrödinger, LLC, New York, NY, 2024. </w:t>
      </w:r>
    </w:p>
    <w:p w14:paraId="330A99EF" w14:textId="77777777" w:rsidR="00256501" w:rsidRDefault="00256501" w:rsidP="00256501">
      <w:pPr>
        <w:jc w:val="both"/>
        <w:rPr>
          <w:rFonts w:asciiTheme="minorHAnsi" w:hAnsiTheme="minorHAnsi" w:cstheme="minorHAnsi"/>
          <w:sz w:val="22"/>
          <w:szCs w:val="22"/>
        </w:rPr>
      </w:pPr>
      <w:r w:rsidRPr="00256501">
        <w:rPr>
          <w:rFonts w:asciiTheme="minorHAnsi" w:hAnsiTheme="minorHAnsi" w:cstheme="minorHAnsi"/>
          <w:sz w:val="22"/>
          <w:szCs w:val="22"/>
        </w:rPr>
        <w:t xml:space="preserve">[5] Waterhouse, A., Bertoni, M., Bienert, S., Studer, G., Tauriello, G., Gumienny, R., Heer, F.T., de Beer, T.A.P., Rempfer, C., Bordoli, L., Lepore, R., Schwede, T. SWISS-MODEL: homology modelling of protein structures and complexes. Nucleic Acids Res. 46, W296-W303 (2018). </w:t>
      </w:r>
    </w:p>
    <w:p w14:paraId="3F284318" w14:textId="77777777" w:rsidR="00256501" w:rsidRDefault="00256501" w:rsidP="00256501">
      <w:pPr>
        <w:jc w:val="both"/>
        <w:rPr>
          <w:rFonts w:asciiTheme="minorHAnsi" w:hAnsiTheme="minorHAnsi" w:cstheme="minorHAnsi"/>
          <w:sz w:val="22"/>
          <w:szCs w:val="22"/>
        </w:rPr>
      </w:pPr>
    </w:p>
    <w:p w14:paraId="01722BD9" w14:textId="38C02A6C" w:rsidR="00256501" w:rsidRPr="00256501" w:rsidRDefault="00256501" w:rsidP="00256501">
      <w:pPr>
        <w:jc w:val="both"/>
        <w:rPr>
          <w:rFonts w:asciiTheme="minorHAnsi" w:hAnsiTheme="minorHAnsi" w:cstheme="minorHAnsi"/>
          <w:b/>
          <w:bCs/>
          <w:sz w:val="22"/>
          <w:szCs w:val="22"/>
        </w:rPr>
      </w:pPr>
      <w:r w:rsidRPr="00256501">
        <w:rPr>
          <w:rFonts w:asciiTheme="minorHAnsi" w:hAnsiTheme="minorHAnsi" w:cstheme="minorHAnsi"/>
          <w:b/>
          <w:bCs/>
          <w:sz w:val="22"/>
          <w:szCs w:val="22"/>
        </w:rPr>
        <w:t xml:space="preserve">Acknowledgment </w:t>
      </w:r>
    </w:p>
    <w:p w14:paraId="1AD286C8" w14:textId="5C74A1DB" w:rsidR="0042419C" w:rsidRPr="00256501" w:rsidRDefault="00256501" w:rsidP="00256501">
      <w:pPr>
        <w:jc w:val="both"/>
        <w:rPr>
          <w:rFonts w:asciiTheme="minorHAnsi" w:hAnsiTheme="minorHAnsi" w:cstheme="minorHAnsi"/>
          <w:b/>
          <w:bCs/>
          <w:color w:val="0070C0"/>
        </w:rPr>
      </w:pPr>
      <w:r w:rsidRPr="00256501">
        <w:rPr>
          <w:rFonts w:asciiTheme="minorHAnsi" w:hAnsiTheme="minorHAnsi" w:cstheme="minorHAnsi"/>
          <w:sz w:val="22"/>
          <w:szCs w:val="22"/>
        </w:rPr>
        <w:t>The Authors acknowledge CA21111 for the financial support.</w:t>
      </w:r>
      <w:r w:rsidR="0042419C" w:rsidRPr="00256501">
        <w:rPr>
          <w:rFonts w:asciiTheme="minorHAnsi" w:hAnsiTheme="minorHAnsi" w:cstheme="minorHAnsi"/>
          <w:b/>
          <w:bCs/>
          <w:color w:val="0070C0"/>
        </w:rPr>
        <w:br w:type="page"/>
      </w:r>
    </w:p>
    <w:p w14:paraId="3EA72BCC" w14:textId="77777777" w:rsidR="009F64F4" w:rsidRDefault="009F64F4" w:rsidP="0042419C">
      <w:pPr>
        <w:spacing w:line="264" w:lineRule="auto"/>
        <w:jc w:val="center"/>
        <w:rPr>
          <w:rFonts w:ascii="Calibri" w:hAnsi="Calibri" w:cs="Calibri"/>
          <w:b/>
          <w:bCs/>
          <w:color w:val="2E74B5" w:themeColor="accent5" w:themeShade="BF"/>
          <w:lang w:val="en-GB"/>
        </w:rPr>
      </w:pPr>
    </w:p>
    <w:p w14:paraId="0C947EAF" w14:textId="1D06DBE2" w:rsidR="0042419C" w:rsidRDefault="0042419C" w:rsidP="0042419C">
      <w:pPr>
        <w:spacing w:line="264" w:lineRule="auto"/>
        <w:jc w:val="center"/>
        <w:rPr>
          <w:rFonts w:ascii="Calibri" w:hAnsi="Calibri" w:cs="Calibri"/>
          <w:b/>
          <w:bCs/>
          <w:color w:val="2E74B5" w:themeColor="accent5" w:themeShade="BF"/>
          <w:lang w:val="en-GB"/>
        </w:rPr>
      </w:pPr>
      <w:r w:rsidRPr="0042419C">
        <w:rPr>
          <w:rFonts w:ascii="Calibri" w:hAnsi="Calibri" w:cs="Calibri"/>
          <w:b/>
          <w:bCs/>
          <w:color w:val="2E74B5" w:themeColor="accent5" w:themeShade="BF"/>
          <w:lang w:val="en-GB"/>
        </w:rPr>
        <w:t>Waste of Punica Granatum: a source of bioactive components to develop new antiinfective treatments</w:t>
      </w:r>
    </w:p>
    <w:p w14:paraId="25314D98" w14:textId="77777777" w:rsidR="009F64F4" w:rsidRPr="0042419C" w:rsidRDefault="009F64F4" w:rsidP="0042419C">
      <w:pPr>
        <w:spacing w:line="264" w:lineRule="auto"/>
        <w:jc w:val="center"/>
        <w:rPr>
          <w:rFonts w:ascii="Calibri" w:hAnsi="Calibri" w:cs="Calibri"/>
          <w:b/>
          <w:bCs/>
          <w:color w:val="2E74B5" w:themeColor="accent5" w:themeShade="BF"/>
        </w:rPr>
      </w:pPr>
    </w:p>
    <w:p w14:paraId="6899590A" w14:textId="4AF7C8D8" w:rsidR="009F64F4" w:rsidRPr="00305D2A" w:rsidRDefault="009F64F4" w:rsidP="009F64F4">
      <w:pPr>
        <w:spacing w:line="264" w:lineRule="auto"/>
        <w:jc w:val="center"/>
        <w:rPr>
          <w:rFonts w:ascii="Calibri" w:hAnsi="Calibri" w:cs="Calibri"/>
          <w:color w:val="000000" w:themeColor="text1"/>
          <w:lang w:val="pt-PT"/>
        </w:rPr>
      </w:pPr>
      <w:r w:rsidRPr="00305D2A">
        <w:rPr>
          <w:rFonts w:ascii="Calibri" w:hAnsi="Calibri" w:cs="Calibri"/>
          <w:color w:val="000000" w:themeColor="text1"/>
          <w:u w:val="single"/>
          <w:lang w:val="pt-PT"/>
        </w:rPr>
        <w:t>Raffellini Lorenzo</w:t>
      </w:r>
      <w:r w:rsidRPr="00305D2A">
        <w:rPr>
          <w:rFonts w:ascii="Calibri" w:hAnsi="Calibri" w:cs="Calibri"/>
          <w:color w:val="000000" w:themeColor="text1"/>
          <w:lang w:val="pt-PT"/>
        </w:rPr>
        <w:t>,</w:t>
      </w:r>
      <w:r w:rsidRPr="00305D2A">
        <w:rPr>
          <w:rFonts w:ascii="Calibri" w:hAnsi="Calibri" w:cs="Calibri"/>
          <w:color w:val="000000" w:themeColor="text1"/>
          <w:vertAlign w:val="superscript"/>
          <w:lang w:val="pt-PT"/>
        </w:rPr>
        <w:t>a</w:t>
      </w:r>
      <w:r w:rsidRPr="00305D2A">
        <w:rPr>
          <w:rFonts w:ascii="Calibri" w:hAnsi="Calibri" w:cs="Calibri"/>
          <w:color w:val="000000" w:themeColor="text1"/>
          <w:lang w:val="pt-PT"/>
        </w:rPr>
        <w:t xml:space="preserve"> Simona Sagona,</w:t>
      </w:r>
      <w:r w:rsidRPr="00305D2A">
        <w:rPr>
          <w:rFonts w:ascii="Calibri" w:hAnsi="Calibri" w:cs="Calibri"/>
          <w:color w:val="000000" w:themeColor="text1"/>
          <w:vertAlign w:val="superscript"/>
          <w:lang w:val="pt-PT"/>
        </w:rPr>
        <w:t xml:space="preserve">a </w:t>
      </w:r>
      <w:r w:rsidRPr="00305D2A">
        <w:rPr>
          <w:rFonts w:ascii="Calibri" w:hAnsi="Calibri" w:cs="Calibri"/>
          <w:color w:val="000000" w:themeColor="text1"/>
          <w:lang w:val="pt-PT"/>
        </w:rPr>
        <w:t>Filippo Fratini,</w:t>
      </w:r>
      <w:r w:rsidRPr="00305D2A">
        <w:rPr>
          <w:rFonts w:ascii="Calibri" w:hAnsi="Calibri" w:cs="Calibri"/>
          <w:color w:val="000000" w:themeColor="text1"/>
          <w:vertAlign w:val="superscript"/>
          <w:lang w:val="pt-PT"/>
        </w:rPr>
        <w:t xml:space="preserve">b </w:t>
      </w:r>
      <w:r w:rsidRPr="00305D2A">
        <w:rPr>
          <w:rFonts w:ascii="Calibri" w:hAnsi="Calibri" w:cs="Calibri"/>
          <w:color w:val="000000" w:themeColor="text1"/>
          <w:lang w:val="pt-PT"/>
        </w:rPr>
        <w:t>Clementina Maner</w:t>
      </w:r>
      <w:r w:rsidRPr="00305D2A">
        <w:rPr>
          <w:rFonts w:ascii="Calibri" w:hAnsi="Calibri" w:cs="Calibri"/>
          <w:color w:val="000000" w:themeColor="text1"/>
          <w:vertAlign w:val="superscript"/>
          <w:lang w:val="pt-PT"/>
        </w:rPr>
        <w:t>a</w:t>
      </w:r>
      <w:r w:rsidRPr="00305D2A">
        <w:rPr>
          <w:rFonts w:ascii="Calibri" w:hAnsi="Calibri" w:cs="Calibri"/>
          <w:color w:val="000000" w:themeColor="text1"/>
          <w:lang w:val="pt-PT"/>
        </w:rPr>
        <w:t>, Simona Rapposelli.</w:t>
      </w:r>
      <w:r w:rsidRPr="00305D2A">
        <w:rPr>
          <w:rFonts w:ascii="Calibri" w:hAnsi="Calibri" w:cs="Calibri"/>
          <w:color w:val="000000" w:themeColor="text1"/>
          <w:vertAlign w:val="superscript"/>
          <w:lang w:val="pt-PT"/>
        </w:rPr>
        <w:t>a</w:t>
      </w:r>
      <w:r w:rsidRPr="00305D2A">
        <w:rPr>
          <w:rFonts w:ascii="Calibri" w:hAnsi="Calibri" w:cs="Calibri"/>
          <w:color w:val="000000" w:themeColor="text1"/>
          <w:lang w:val="pt-PT"/>
        </w:rPr>
        <w:t xml:space="preserve"> </w:t>
      </w:r>
    </w:p>
    <w:p w14:paraId="1A053751" w14:textId="77777777" w:rsidR="009F64F4" w:rsidRPr="00E45C3D" w:rsidRDefault="009F64F4" w:rsidP="009F64F4">
      <w:pPr>
        <w:spacing w:line="264" w:lineRule="auto"/>
        <w:jc w:val="center"/>
        <w:rPr>
          <w:rFonts w:ascii="Calibri" w:hAnsi="Calibri" w:cs="Calibri"/>
          <w:color w:val="000000" w:themeColor="text1"/>
          <w:sz w:val="22"/>
          <w:szCs w:val="22"/>
        </w:rPr>
      </w:pPr>
      <w:r w:rsidRPr="00E45C3D">
        <w:rPr>
          <w:rFonts w:ascii="Calibri" w:hAnsi="Calibri" w:cs="Calibri"/>
          <w:color w:val="000000" w:themeColor="text1"/>
          <w:sz w:val="22"/>
          <w:szCs w:val="22"/>
          <w:vertAlign w:val="superscript"/>
        </w:rPr>
        <w:t>a</w:t>
      </w:r>
      <w:r w:rsidRPr="00E45C3D">
        <w:rPr>
          <w:rFonts w:ascii="Calibri" w:hAnsi="Calibri" w:cs="Calibri"/>
          <w:color w:val="000000" w:themeColor="text1"/>
          <w:sz w:val="22"/>
          <w:szCs w:val="22"/>
        </w:rPr>
        <w:t xml:space="preserve">Department of Pharmacy University of Pisa, Italy; </w:t>
      </w:r>
      <w:r w:rsidRPr="00E45C3D">
        <w:rPr>
          <w:rFonts w:ascii="Calibri" w:hAnsi="Calibri" w:cs="Calibri"/>
          <w:color w:val="000000" w:themeColor="text1"/>
          <w:sz w:val="22"/>
          <w:szCs w:val="22"/>
          <w:vertAlign w:val="superscript"/>
        </w:rPr>
        <w:t>b</w:t>
      </w:r>
      <w:r w:rsidRPr="00E45C3D">
        <w:rPr>
          <w:rFonts w:ascii="Calibri" w:hAnsi="Calibri" w:cs="Calibri"/>
          <w:color w:val="000000" w:themeColor="text1"/>
          <w:sz w:val="22"/>
          <w:szCs w:val="22"/>
        </w:rPr>
        <w:t xml:space="preserve">Department of Veterinary Sciences University of Pisa , Italy. </w:t>
      </w:r>
    </w:p>
    <w:p w14:paraId="2E9D530F" w14:textId="0C358253" w:rsidR="0042419C" w:rsidRPr="00E45C3D" w:rsidRDefault="00000000" w:rsidP="009F64F4">
      <w:pPr>
        <w:spacing w:line="264" w:lineRule="auto"/>
        <w:jc w:val="center"/>
        <w:rPr>
          <w:rFonts w:ascii="Calibri" w:hAnsi="Calibri" w:cs="Calibri"/>
          <w:color w:val="000000" w:themeColor="text1"/>
          <w:sz w:val="22"/>
          <w:szCs w:val="22"/>
        </w:rPr>
      </w:pPr>
      <w:hyperlink r:id="rId16" w:history="1">
        <w:r w:rsidR="009F64F4" w:rsidRPr="00E45C3D">
          <w:rPr>
            <w:rStyle w:val="Hyperlink"/>
            <w:rFonts w:ascii="Calibri" w:hAnsi="Calibri" w:cs="Calibri"/>
            <w:sz w:val="22"/>
            <w:szCs w:val="22"/>
          </w:rPr>
          <w:t>lorenzo.raffellini@phd.unipi.it</w:t>
        </w:r>
      </w:hyperlink>
    </w:p>
    <w:p w14:paraId="48A6BA79" w14:textId="77777777" w:rsidR="009F64F4" w:rsidRDefault="009F64F4" w:rsidP="009F64F4">
      <w:pPr>
        <w:spacing w:line="264" w:lineRule="auto"/>
        <w:jc w:val="both"/>
        <w:rPr>
          <w:rFonts w:ascii="Calibri" w:hAnsi="Calibri" w:cs="Calibri"/>
          <w:color w:val="000000" w:themeColor="text1"/>
        </w:rPr>
      </w:pPr>
    </w:p>
    <w:p w14:paraId="2CC145C7" w14:textId="77777777" w:rsidR="009F64F4" w:rsidRDefault="009F64F4" w:rsidP="009F64F4">
      <w:pPr>
        <w:spacing w:line="264" w:lineRule="auto"/>
        <w:jc w:val="both"/>
        <w:rPr>
          <w:rFonts w:ascii="Calibri" w:hAnsi="Calibri" w:cs="Calibri"/>
          <w:bCs/>
          <w:noProof/>
          <w:color w:val="000000" w:themeColor="text1"/>
          <w:lang w:val="en-GB"/>
        </w:rPr>
      </w:pPr>
      <w:r w:rsidRPr="009F64F4">
        <w:rPr>
          <w:rFonts w:ascii="Calibri" w:hAnsi="Calibri" w:cs="Calibri"/>
          <w:bCs/>
          <w:color w:val="000000" w:themeColor="text1"/>
          <w:lang w:val="en-GB"/>
        </w:rPr>
        <w:t>Recently, plant-sourced substances are gaining attention in drug discovery for many pathologies. In this landscape, Punica granatum proved beneficial effects against neglected infectious diseases (NIDs) such as L. donovani and L. infantum and Zika Virus (ZV) infection without evident toxicity1,2 . Ellagic Acid (EA), one of the major constituent of pomegranate extracts, showed antileishmanial activity on in vitro and in vivo models, suggesting that it could be accountable for such activity3 . Moreover, docking and molecular dynamics studies reveal that EA is able to potently inhibit ZV NS3-helicase, demonstrating the pomegranate antiviral effect4 . Based on this evidence, we decided to exploit eco-friendly and sustainable extraction methods to obtain extracts enriched with EA starting from pomegranate waste materials. Moreover, since metabolites of EA, namely urolithins, demonstrated to inhibit Leishmania proliferation5 , we decided to synthesise novel urolithin-derivatives in order to develop potent anti-infective agents. Herein we will discuss the chemical characterization of the extracts and the preliminary results as antibacterial.</w:t>
      </w:r>
      <w:r w:rsidRPr="009F64F4">
        <w:rPr>
          <w:rFonts w:ascii="Calibri" w:hAnsi="Calibri" w:cs="Calibri"/>
          <w:bCs/>
          <w:noProof/>
          <w:color w:val="000000" w:themeColor="text1"/>
          <w:lang w:val="en-GB"/>
        </w:rPr>
        <w:t xml:space="preserve"> </w:t>
      </w:r>
    </w:p>
    <w:p w14:paraId="38115B97" w14:textId="2323BAC8" w:rsidR="009F64F4" w:rsidRPr="009F64F4" w:rsidRDefault="009F64F4" w:rsidP="009F64F4">
      <w:pPr>
        <w:spacing w:line="264" w:lineRule="auto"/>
        <w:jc w:val="both"/>
        <w:rPr>
          <w:rFonts w:ascii="Calibri" w:hAnsi="Calibri" w:cs="Calibri"/>
          <w:bCs/>
          <w:color w:val="000000" w:themeColor="text1"/>
          <w:lang w:val="en-GB"/>
        </w:rPr>
      </w:pPr>
      <w:r>
        <w:rPr>
          <w:rFonts w:ascii="Calibri" w:hAnsi="Calibri" w:cs="Calibri"/>
          <w:bCs/>
          <w:noProof/>
          <w:color w:val="000000" w:themeColor="text1"/>
          <w:lang w:val="en-GB"/>
        </w:rPr>
        <w:lastRenderedPageBreak/>
        <w:drawing>
          <wp:inline distT="0" distB="0" distL="0" distR="0" wp14:anchorId="5F94127F" wp14:editId="7C960AA8">
            <wp:extent cx="5395595" cy="2461895"/>
            <wp:effectExtent l="0" t="0" r="1905" b="1905"/>
            <wp:docPr id="68142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23841" name="Picture 681423841"/>
                    <pic:cNvPicPr/>
                  </pic:nvPicPr>
                  <pic:blipFill rotWithShape="1">
                    <a:blip r:embed="rId17">
                      <a:extLst>
                        <a:ext uri="{28A0092B-C50C-407E-A947-70E740481C1C}">
                          <a14:useLocalDpi xmlns:a14="http://schemas.microsoft.com/office/drawing/2010/main" val="0"/>
                        </a:ext>
                      </a:extLst>
                    </a:blip>
                    <a:srcRect t="2214"/>
                    <a:stretch/>
                  </pic:blipFill>
                  <pic:spPr bwMode="auto">
                    <a:xfrm>
                      <a:off x="0" y="0"/>
                      <a:ext cx="5395595" cy="2461895"/>
                    </a:xfrm>
                    <a:prstGeom prst="rect">
                      <a:avLst/>
                    </a:prstGeom>
                    <a:ln>
                      <a:noFill/>
                    </a:ln>
                    <a:extLst>
                      <a:ext uri="{53640926-AAD7-44D8-BBD7-CCE9431645EC}">
                        <a14:shadowObscured xmlns:a14="http://schemas.microsoft.com/office/drawing/2010/main"/>
                      </a:ext>
                    </a:extLst>
                  </pic:spPr>
                </pic:pic>
              </a:graphicData>
            </a:graphic>
          </wp:inline>
        </w:drawing>
      </w:r>
    </w:p>
    <w:p w14:paraId="2923EE30" w14:textId="669B9F40" w:rsidR="009F64F4" w:rsidRPr="00E45C3D" w:rsidRDefault="009F64F4" w:rsidP="009F64F4">
      <w:pPr>
        <w:spacing w:line="264" w:lineRule="auto"/>
        <w:rPr>
          <w:rFonts w:ascii="Calibri" w:hAnsi="Calibri" w:cs="Calibri"/>
          <w:b/>
          <w:color w:val="000000" w:themeColor="text1"/>
          <w:sz w:val="22"/>
          <w:szCs w:val="22"/>
          <w:lang w:val="pt-PT"/>
        </w:rPr>
      </w:pPr>
      <w:r w:rsidRPr="00E45C3D">
        <w:rPr>
          <w:rFonts w:ascii="Calibri" w:hAnsi="Calibri" w:cs="Calibri"/>
          <w:b/>
          <w:color w:val="000000" w:themeColor="text1"/>
          <w:sz w:val="22"/>
          <w:szCs w:val="22"/>
          <w:lang w:val="pt-PT"/>
        </w:rPr>
        <w:t>References</w:t>
      </w:r>
    </w:p>
    <w:p w14:paraId="4F4C8537" w14:textId="0A1C6BB0" w:rsidR="009F64F4" w:rsidRPr="00E45C3D" w:rsidRDefault="009F64F4" w:rsidP="009F64F4">
      <w:pPr>
        <w:spacing w:line="264" w:lineRule="auto"/>
        <w:jc w:val="both"/>
        <w:rPr>
          <w:rFonts w:ascii="Calibri" w:hAnsi="Calibri" w:cs="Calibri"/>
          <w:bCs/>
          <w:color w:val="000000" w:themeColor="text1"/>
          <w:sz w:val="22"/>
          <w:szCs w:val="22"/>
          <w:lang w:val="en-GB"/>
        </w:rPr>
      </w:pPr>
      <w:r w:rsidRPr="00E45C3D">
        <w:rPr>
          <w:rFonts w:ascii="Calibri" w:hAnsi="Calibri" w:cs="Calibri"/>
          <w:bCs/>
          <w:color w:val="000000" w:themeColor="text1"/>
          <w:sz w:val="22"/>
          <w:szCs w:val="22"/>
          <w:lang w:val="pt-PT"/>
        </w:rPr>
        <w:t xml:space="preserve">1. Acquadro, S. et al. </w:t>
      </w:r>
      <w:r w:rsidRPr="00E45C3D">
        <w:rPr>
          <w:rFonts w:ascii="Calibri" w:hAnsi="Calibri" w:cs="Calibri"/>
          <w:bCs/>
          <w:color w:val="000000" w:themeColor="text1"/>
          <w:sz w:val="22"/>
          <w:szCs w:val="22"/>
          <w:lang w:val="en-GB"/>
        </w:rPr>
        <w:t>Punica granatum Leaf Ethanolic Extract and Ellagic Acid as Inhibitors of Zika Virus Infection. Planta Med 86, 1363–1374 (2020).</w:t>
      </w:r>
    </w:p>
    <w:p w14:paraId="12C3CC97" w14:textId="118AD54F" w:rsidR="009F64F4" w:rsidRPr="00E45C3D" w:rsidRDefault="009F64F4" w:rsidP="009F64F4">
      <w:pPr>
        <w:spacing w:line="264" w:lineRule="auto"/>
        <w:jc w:val="both"/>
        <w:rPr>
          <w:rFonts w:ascii="Calibri" w:hAnsi="Calibri" w:cs="Calibri"/>
          <w:bCs/>
          <w:color w:val="000000" w:themeColor="text1"/>
          <w:sz w:val="22"/>
          <w:szCs w:val="22"/>
          <w:lang w:val="en-GB"/>
        </w:rPr>
      </w:pPr>
      <w:r w:rsidRPr="00E45C3D">
        <w:rPr>
          <w:rFonts w:ascii="Calibri" w:hAnsi="Calibri" w:cs="Calibri"/>
          <w:bCs/>
          <w:color w:val="000000" w:themeColor="text1"/>
          <w:sz w:val="22"/>
          <w:szCs w:val="22"/>
          <w:lang w:val="en-GB"/>
        </w:rPr>
        <w:t>2. Alkathiri, B. et al. Pomegranate (Punica granatum) Juice Shows Antioxidant Activity against Cutaneous Leishmaniasis-Induced Oxidative Stress in Female BALB/c Mice. IJERPH 14, 1592 (2017).</w:t>
      </w:r>
    </w:p>
    <w:p w14:paraId="497881DC" w14:textId="24D85604" w:rsidR="009F64F4" w:rsidRPr="00E45C3D" w:rsidRDefault="009F64F4" w:rsidP="009F64F4">
      <w:pPr>
        <w:spacing w:line="264" w:lineRule="auto"/>
        <w:jc w:val="both"/>
        <w:rPr>
          <w:rFonts w:ascii="Calibri" w:hAnsi="Calibri" w:cs="Calibri"/>
          <w:bCs/>
          <w:color w:val="000000" w:themeColor="text1"/>
          <w:sz w:val="22"/>
          <w:szCs w:val="22"/>
          <w:lang w:val="en-GB"/>
        </w:rPr>
      </w:pPr>
      <w:r w:rsidRPr="00E45C3D">
        <w:rPr>
          <w:rFonts w:ascii="Calibri" w:hAnsi="Calibri" w:cs="Calibri"/>
          <w:bCs/>
          <w:color w:val="000000" w:themeColor="text1"/>
          <w:sz w:val="22"/>
          <w:szCs w:val="22"/>
          <w:lang w:val="en-GB"/>
        </w:rPr>
        <w:t>3. Keshav, P., Goyal, D. K. &amp; Kaur, S. In vitro and in vivo therapeutic antileishmanial potential of ellagic acid against Leishmania donovani in murine model. Med Microbiol Immunol 212, 35–51 (2023).</w:t>
      </w:r>
    </w:p>
    <w:p w14:paraId="2B5C3B49" w14:textId="77777777" w:rsidR="009F64F4" w:rsidRPr="00E45C3D" w:rsidRDefault="009F64F4" w:rsidP="009F64F4">
      <w:pPr>
        <w:spacing w:line="264" w:lineRule="auto"/>
        <w:jc w:val="both"/>
        <w:rPr>
          <w:rFonts w:ascii="Calibri" w:hAnsi="Calibri" w:cs="Calibri"/>
          <w:bCs/>
          <w:color w:val="000000" w:themeColor="text1"/>
          <w:sz w:val="22"/>
          <w:szCs w:val="22"/>
          <w:lang w:val="en-GB"/>
        </w:rPr>
      </w:pPr>
      <w:r w:rsidRPr="00E45C3D">
        <w:rPr>
          <w:rFonts w:ascii="Calibri" w:hAnsi="Calibri" w:cs="Calibri"/>
          <w:bCs/>
          <w:color w:val="000000" w:themeColor="text1"/>
          <w:sz w:val="22"/>
          <w:szCs w:val="22"/>
          <w:lang w:val="en-GB"/>
        </w:rPr>
        <w:t>4. Kullappan, M. et al. Ellagic Acid as a Potential Inhibitor against the Nonstructural Protein NS3 Helicase of Zika Virus: A Molecular Modelling Study. BioMed Research International 2022, 1–15 (2022).</w:t>
      </w:r>
    </w:p>
    <w:p w14:paraId="1E3F2370" w14:textId="77777777" w:rsidR="009F64F4" w:rsidRPr="00E45C3D" w:rsidRDefault="009F64F4" w:rsidP="009F64F4">
      <w:pPr>
        <w:spacing w:line="264" w:lineRule="auto"/>
        <w:jc w:val="both"/>
        <w:rPr>
          <w:rFonts w:ascii="Calibri" w:hAnsi="Calibri" w:cs="Calibri"/>
          <w:bCs/>
          <w:color w:val="000000" w:themeColor="text1"/>
          <w:sz w:val="22"/>
          <w:szCs w:val="22"/>
          <w:lang w:val="en-GB"/>
        </w:rPr>
      </w:pPr>
      <w:r w:rsidRPr="00E45C3D">
        <w:rPr>
          <w:rFonts w:ascii="Calibri" w:hAnsi="Calibri" w:cs="Calibri"/>
          <w:bCs/>
          <w:color w:val="000000" w:themeColor="text1"/>
          <w:sz w:val="22"/>
          <w:szCs w:val="22"/>
          <w:lang w:val="en-GB"/>
        </w:rPr>
        <w:t>5. Rahman, F. et al. Exploration of potential inhibitors for autophagy-related protein 8 as antileishmanial agents. Chem Biol Drug Des 99, 816–827 (2022).</w:t>
      </w:r>
    </w:p>
    <w:p w14:paraId="773F4B83" w14:textId="77777777" w:rsidR="009F64F4" w:rsidRPr="00E45C3D" w:rsidRDefault="009F64F4" w:rsidP="009F64F4">
      <w:pPr>
        <w:spacing w:line="264" w:lineRule="auto"/>
        <w:jc w:val="both"/>
        <w:rPr>
          <w:rFonts w:ascii="Calibri" w:hAnsi="Calibri" w:cs="Calibri"/>
          <w:bCs/>
          <w:color w:val="000000" w:themeColor="text1"/>
          <w:sz w:val="22"/>
          <w:szCs w:val="22"/>
          <w:lang w:val="en-GB"/>
        </w:rPr>
      </w:pPr>
    </w:p>
    <w:p w14:paraId="7B11AD41" w14:textId="77777777" w:rsidR="009F64F4" w:rsidRPr="00E45C3D" w:rsidRDefault="009F64F4" w:rsidP="009F64F4">
      <w:pPr>
        <w:spacing w:line="264" w:lineRule="auto"/>
        <w:jc w:val="both"/>
        <w:rPr>
          <w:rFonts w:ascii="Calibri" w:hAnsi="Calibri" w:cs="Calibri"/>
          <w:bCs/>
          <w:color w:val="000000" w:themeColor="text1"/>
          <w:sz w:val="22"/>
          <w:szCs w:val="22"/>
          <w:lang w:val="en-GB"/>
        </w:rPr>
      </w:pPr>
      <w:r w:rsidRPr="00E45C3D">
        <w:rPr>
          <w:rFonts w:ascii="Calibri" w:hAnsi="Calibri" w:cs="Calibri"/>
          <w:b/>
          <w:color w:val="000000" w:themeColor="text1"/>
          <w:sz w:val="22"/>
          <w:szCs w:val="22"/>
          <w:lang w:val="en-GB"/>
        </w:rPr>
        <w:t xml:space="preserve">Acknowledgment </w:t>
      </w:r>
    </w:p>
    <w:p w14:paraId="43D5C2F0" w14:textId="2A7C3BDF" w:rsidR="009F64F4" w:rsidRPr="00E45C3D" w:rsidRDefault="009F64F4" w:rsidP="009F64F4">
      <w:pPr>
        <w:spacing w:line="264" w:lineRule="auto"/>
        <w:jc w:val="both"/>
        <w:rPr>
          <w:rFonts w:ascii="Calibri" w:hAnsi="Calibri" w:cs="Calibri"/>
          <w:bCs/>
          <w:color w:val="000000" w:themeColor="text1"/>
          <w:sz w:val="22"/>
          <w:szCs w:val="22"/>
          <w:lang w:val="en-GB"/>
        </w:rPr>
      </w:pPr>
      <w:r w:rsidRPr="00E45C3D">
        <w:rPr>
          <w:rFonts w:ascii="Calibri" w:hAnsi="Calibri" w:cs="Calibri"/>
          <w:bCs/>
          <w:color w:val="000000" w:themeColor="text1"/>
          <w:sz w:val="22"/>
          <w:szCs w:val="22"/>
          <w:lang w:val="en-GB"/>
        </w:rPr>
        <w:t>This research activity was partially funded by Floratek Pharma.</w:t>
      </w:r>
    </w:p>
    <w:p w14:paraId="11F44EAA" w14:textId="558D1A67" w:rsidR="003D3A24" w:rsidRDefault="003D3A24">
      <w:pPr>
        <w:rPr>
          <w:rFonts w:ascii="Calibri" w:hAnsi="Calibri" w:cs="Calibri"/>
          <w:bCs/>
          <w:color w:val="000000" w:themeColor="text1"/>
          <w:lang w:val="en-GB"/>
        </w:rPr>
      </w:pPr>
      <w:r w:rsidRPr="00E45C3D">
        <w:rPr>
          <w:rFonts w:ascii="Calibri" w:hAnsi="Calibri" w:cs="Calibri"/>
          <w:bCs/>
          <w:color w:val="000000" w:themeColor="text1"/>
          <w:sz w:val="22"/>
          <w:szCs w:val="22"/>
          <w:lang w:val="en-GB"/>
        </w:rPr>
        <w:br w:type="page"/>
      </w:r>
    </w:p>
    <w:p w14:paraId="75F5B18F" w14:textId="77777777" w:rsidR="009F64F4" w:rsidRDefault="009F64F4" w:rsidP="009F64F4">
      <w:pPr>
        <w:spacing w:line="264" w:lineRule="auto"/>
        <w:jc w:val="both"/>
        <w:rPr>
          <w:rFonts w:ascii="Calibri" w:hAnsi="Calibri" w:cs="Calibri"/>
          <w:bCs/>
          <w:color w:val="000000" w:themeColor="text1"/>
          <w:lang w:val="en-GB"/>
        </w:rPr>
      </w:pPr>
    </w:p>
    <w:p w14:paraId="1D82E6F4" w14:textId="77777777" w:rsidR="003D3A24" w:rsidRDefault="003D3A24" w:rsidP="003D3A24">
      <w:pPr>
        <w:spacing w:line="264" w:lineRule="auto"/>
        <w:jc w:val="center"/>
        <w:rPr>
          <w:rFonts w:ascii="Calibri" w:hAnsi="Calibri" w:cs="Calibri"/>
          <w:b/>
          <w:bCs/>
          <w:color w:val="2E74B5" w:themeColor="accent5" w:themeShade="BF"/>
          <w:lang w:val="en-GB"/>
        </w:rPr>
      </w:pPr>
      <w:r w:rsidRPr="003D3A24">
        <w:rPr>
          <w:rFonts w:ascii="Calibri" w:hAnsi="Calibri" w:cs="Calibri"/>
          <w:b/>
          <w:bCs/>
          <w:color w:val="2E74B5" w:themeColor="accent5" w:themeShade="BF"/>
          <w:lang w:val="en-GB"/>
        </w:rPr>
        <w:t>Machine learning models for assessing toxicity of aquatic model organisms</w:t>
      </w:r>
    </w:p>
    <w:p w14:paraId="50BB2156" w14:textId="77777777" w:rsidR="003D3A24" w:rsidRDefault="003D3A24" w:rsidP="003D3A24">
      <w:pPr>
        <w:jc w:val="center"/>
        <w:rPr>
          <w:rFonts w:ascii="Calibri" w:hAnsi="Calibri" w:cs="Calibri"/>
          <w:color w:val="000000"/>
          <w:sz w:val="22"/>
          <w:szCs w:val="22"/>
        </w:rPr>
      </w:pPr>
    </w:p>
    <w:p w14:paraId="0B2D348D" w14:textId="40427624" w:rsidR="003D3A24" w:rsidRPr="00E45C3D" w:rsidRDefault="003D3A24" w:rsidP="003D3A24">
      <w:pPr>
        <w:jc w:val="center"/>
        <w:rPr>
          <w:rFonts w:ascii="Calibri" w:hAnsi="Calibri" w:cs="Calibri"/>
          <w:color w:val="000000"/>
        </w:rPr>
      </w:pPr>
      <w:r w:rsidRPr="00E45C3D">
        <w:rPr>
          <w:rFonts w:ascii="Calibri" w:hAnsi="Calibri" w:cs="Calibri"/>
          <w:color w:val="000000"/>
          <w:u w:val="single"/>
        </w:rPr>
        <w:t>Črtomir Podlipnik</w:t>
      </w:r>
      <w:r w:rsidRPr="00E45C3D">
        <w:rPr>
          <w:rFonts w:ascii="Calibri" w:hAnsi="Calibri" w:cs="Calibri"/>
          <w:color w:val="000000"/>
        </w:rPr>
        <w:t>, Johander I. Azuaje</w:t>
      </w:r>
    </w:p>
    <w:p w14:paraId="6045BF84" w14:textId="6DF4410B" w:rsidR="003D3A24" w:rsidRPr="00E957C0" w:rsidRDefault="003D3A24" w:rsidP="003D3A24">
      <w:pPr>
        <w:jc w:val="center"/>
        <w:rPr>
          <w:rFonts w:ascii="Calibri" w:hAnsi="Calibri" w:cs="Calibri"/>
          <w:color w:val="000000"/>
          <w:sz w:val="22"/>
          <w:szCs w:val="22"/>
        </w:rPr>
      </w:pPr>
      <w:r w:rsidRPr="00E957C0">
        <w:rPr>
          <w:rFonts w:ascii="Calibri" w:hAnsi="Calibri" w:cs="Calibri"/>
          <w:color w:val="000000"/>
          <w:sz w:val="22"/>
          <w:szCs w:val="22"/>
          <w:vertAlign w:val="superscript"/>
        </w:rPr>
        <w:t>a</w:t>
      </w:r>
      <w:r w:rsidRPr="00792E6D">
        <w:rPr>
          <w:rFonts w:ascii="Calibri" w:hAnsi="Calibri" w:cs="Calibri"/>
          <w:color w:val="000000"/>
          <w:sz w:val="22"/>
          <w:szCs w:val="22"/>
        </w:rPr>
        <w:t>University of Ljubljana, Slovenia</w:t>
      </w:r>
    </w:p>
    <w:p w14:paraId="6ED110EE" w14:textId="4E702B85" w:rsidR="003D3A24" w:rsidRPr="003D3A24" w:rsidRDefault="003D3A24" w:rsidP="003D3A24">
      <w:pPr>
        <w:jc w:val="center"/>
        <w:rPr>
          <w:rFonts w:ascii="Calibri" w:hAnsi="Calibri" w:cs="Calibri"/>
          <w:color w:val="000000"/>
          <w:sz w:val="22"/>
          <w:szCs w:val="22"/>
        </w:rPr>
      </w:pPr>
      <w:r w:rsidRPr="003D3A24">
        <w:rPr>
          <w:rFonts w:ascii="Calibri" w:hAnsi="Calibri" w:cs="Calibri"/>
          <w:color w:val="000000"/>
          <w:sz w:val="22"/>
          <w:szCs w:val="22"/>
        </w:rPr>
        <w:t>crtomir.podlipnik@fkkt.uni-lj.si</w:t>
      </w:r>
    </w:p>
    <w:p w14:paraId="65835C77" w14:textId="77777777" w:rsidR="003D3A24" w:rsidRPr="00B002F8" w:rsidRDefault="003D3A24" w:rsidP="003D3A24">
      <w:pPr>
        <w:spacing w:line="360" w:lineRule="auto"/>
        <w:jc w:val="center"/>
        <w:rPr>
          <w:rFonts w:ascii="Calibri" w:hAnsi="Calibri" w:cs="Calibri"/>
        </w:rPr>
      </w:pPr>
    </w:p>
    <w:p w14:paraId="17C9B41C" w14:textId="77777777" w:rsidR="000D0363" w:rsidRPr="00E45C3D" w:rsidRDefault="000D0363" w:rsidP="000D0363">
      <w:pPr>
        <w:jc w:val="both"/>
        <w:rPr>
          <w:rFonts w:ascii="Calibri" w:hAnsi="Calibri" w:cs="Calibri"/>
        </w:rPr>
      </w:pPr>
      <w:r w:rsidRPr="00E45C3D">
        <w:rPr>
          <w:rFonts w:ascii="Calibri" w:hAnsi="Calibri" w:cs="Calibri"/>
        </w:rPr>
        <w:t xml:space="preserve">Predictive models based on machine learning offer a promising framework for assessing the toxicity of chemical compounds for model organisms such as </w:t>
      </w:r>
      <w:r w:rsidRPr="00E45C3D">
        <w:rPr>
          <w:rFonts w:ascii="Calibri" w:hAnsi="Calibri" w:cs="Calibri"/>
          <w:i/>
          <w:iCs/>
        </w:rPr>
        <w:t>Daphnia magna</w:t>
      </w:r>
      <w:r w:rsidRPr="00E45C3D">
        <w:rPr>
          <w:rFonts w:ascii="Calibri" w:hAnsi="Calibri" w:cs="Calibri"/>
        </w:rPr>
        <w:t xml:space="preserve"> and zebrafish (</w:t>
      </w:r>
      <w:r w:rsidRPr="00E45C3D">
        <w:rPr>
          <w:rFonts w:ascii="Calibri" w:hAnsi="Calibri" w:cs="Calibri"/>
          <w:i/>
          <w:iCs/>
        </w:rPr>
        <w:t>Danio rerio</w:t>
      </w:r>
      <w:r w:rsidRPr="00E45C3D">
        <w:rPr>
          <w:rFonts w:ascii="Calibri" w:hAnsi="Calibri" w:cs="Calibri"/>
        </w:rPr>
        <w:t xml:space="preserve">). These computational approaches address the limitations of traditional in vivo testing, which is time-consuming, resource-intensive, and often relies on animal testing, raising ethical concerns. </w:t>
      </w:r>
    </w:p>
    <w:p w14:paraId="300F43A8" w14:textId="77777777" w:rsidR="000D0363" w:rsidRPr="00E45C3D" w:rsidRDefault="000D0363" w:rsidP="000D0363">
      <w:pPr>
        <w:jc w:val="both"/>
        <w:rPr>
          <w:rFonts w:ascii="Calibri" w:hAnsi="Calibri" w:cs="Calibri"/>
        </w:rPr>
      </w:pPr>
      <w:r w:rsidRPr="00E45C3D">
        <w:rPr>
          <w:rFonts w:ascii="Calibri" w:hAnsi="Calibri" w:cs="Calibri"/>
        </w:rPr>
        <w:t xml:space="preserve">This study utilizes chemoinformatics to construct robust models that use molecular descriptors and toxicity datasets to predict the toxicity of compounds expressed as pLC50 or pEC50 values. Comprehensive datasets for </w:t>
      </w:r>
      <w:r w:rsidRPr="00E45C3D">
        <w:rPr>
          <w:rFonts w:ascii="Calibri" w:hAnsi="Calibri" w:cs="Calibri"/>
          <w:i/>
          <w:iCs/>
        </w:rPr>
        <w:t>Daphnia magna</w:t>
      </w:r>
      <w:r w:rsidRPr="00E45C3D">
        <w:rPr>
          <w:rFonts w:ascii="Calibri" w:hAnsi="Calibri" w:cs="Calibri"/>
        </w:rPr>
        <w:t xml:space="preserve"> and zebrafish were curated from various sources covering pesticides, pharmaceuticals, and industrial chemicals. Molecular descriptors, including 1D, 2D, and 3D traits, were calculated using tools such as RDKit, Dragon, and ISIDA fragments. Feature selection methods identified the most relevant descriptors, while hierarchical clustering enhanced dataset diversity for </w:t>
      </w:r>
      <w:r w:rsidRPr="00E45C3D">
        <w:rPr>
          <w:rFonts w:ascii="Calibri" w:hAnsi="Calibri" w:cs="Calibri"/>
          <w:i/>
          <w:iCs/>
        </w:rPr>
        <w:t>Daphnia magna</w:t>
      </w:r>
      <w:r w:rsidRPr="00E45C3D">
        <w:rPr>
          <w:rFonts w:ascii="Calibri" w:hAnsi="Calibri" w:cs="Calibri"/>
        </w:rPr>
        <w:t xml:space="preserve">. Random Forest (RF) models were developed and validated for regression and classification tasks. Zebrafish developmental toxicity was assessed over 48- and 120-hour intervals, with additional classification into toxic and non-toxic categories. </w:t>
      </w:r>
    </w:p>
    <w:p w14:paraId="54A34152" w14:textId="77777777" w:rsidR="000D0363" w:rsidRPr="00E45C3D" w:rsidRDefault="000D0363" w:rsidP="000D0363">
      <w:pPr>
        <w:jc w:val="both"/>
        <w:rPr>
          <w:rFonts w:ascii="Calibri" w:hAnsi="Calibri" w:cs="Calibri"/>
        </w:rPr>
      </w:pPr>
      <w:r w:rsidRPr="00E45C3D">
        <w:rPr>
          <w:rFonts w:ascii="Calibri" w:hAnsi="Calibri" w:cs="Calibri"/>
        </w:rPr>
        <w:t>The models demonstrated moderate to high predictive power, with regression R² values ranging from 0.394 to 0.850 and classification metrics achieving balanced accuracy above 0.75 in external validations. This study underscores the utility of combining diverse molecular descriptors and machine learning techniques to predict toxicity across structurally varied compounds. It also highlights the need for refining descriptor sets and exploring alternative machine learning algorithms to further improve performance.</w:t>
      </w:r>
    </w:p>
    <w:p w14:paraId="160DD6F6" w14:textId="77777777" w:rsidR="000D0363" w:rsidRDefault="000D0363" w:rsidP="000D0363">
      <w:pPr>
        <w:jc w:val="both"/>
        <w:rPr>
          <w:rFonts w:ascii="Calibri" w:hAnsi="Calibri" w:cs="Calibri"/>
          <w:b/>
          <w:bCs/>
          <w:spacing w:val="2"/>
          <w:sz w:val="22"/>
          <w:szCs w:val="22"/>
          <w:shd w:val="clear" w:color="auto" w:fill="FFFFFF"/>
        </w:rPr>
      </w:pPr>
    </w:p>
    <w:p w14:paraId="2BFC4B9F" w14:textId="77777777" w:rsidR="000D0363" w:rsidRDefault="000D0363" w:rsidP="000D0363">
      <w:pPr>
        <w:jc w:val="both"/>
        <w:rPr>
          <w:rFonts w:ascii="Calibri" w:hAnsi="Calibri" w:cs="Calibri"/>
          <w:b/>
          <w:bCs/>
          <w:spacing w:val="2"/>
          <w:sz w:val="22"/>
          <w:szCs w:val="22"/>
          <w:shd w:val="clear" w:color="auto" w:fill="FFFFFF"/>
        </w:rPr>
      </w:pPr>
      <w:r>
        <w:rPr>
          <w:rFonts w:ascii="Calibri" w:hAnsi="Calibri" w:cs="Calibri"/>
          <w:b/>
          <w:bCs/>
          <w:spacing w:val="2"/>
          <w:sz w:val="22"/>
          <w:szCs w:val="22"/>
          <w:shd w:val="clear" w:color="auto" w:fill="FFFFFF"/>
        </w:rPr>
        <w:t>Acknowledgment</w:t>
      </w:r>
    </w:p>
    <w:p w14:paraId="08EDEBB5" w14:textId="77777777" w:rsidR="000D0363" w:rsidRDefault="000D0363" w:rsidP="000D0363">
      <w:pPr>
        <w:jc w:val="both"/>
        <w:rPr>
          <w:rFonts w:ascii="Calibri" w:hAnsi="Calibri" w:cs="Calibri"/>
          <w:sz w:val="22"/>
          <w:szCs w:val="22"/>
        </w:rPr>
      </w:pPr>
      <w:r w:rsidRPr="00E957C0">
        <w:rPr>
          <w:rFonts w:ascii="Calibri" w:hAnsi="Calibri" w:cs="Calibri"/>
          <w:spacing w:val="2"/>
          <w:sz w:val="22"/>
          <w:szCs w:val="22"/>
          <w:shd w:val="clear" w:color="auto" w:fill="FFFFFF"/>
        </w:rPr>
        <w:t>This work was supported by COST Action CA21111 and the Erasmus Mundus Joint Master Chemoinformatics+ program.</w:t>
      </w:r>
    </w:p>
    <w:p w14:paraId="2A78232C" w14:textId="77777777" w:rsidR="000D0363" w:rsidRDefault="000D0363" w:rsidP="000D0363">
      <w:pPr>
        <w:rPr>
          <w:rFonts w:ascii="Calibri" w:hAnsi="Calibri" w:cs="Calibri"/>
          <w:sz w:val="22"/>
          <w:szCs w:val="22"/>
        </w:rPr>
      </w:pPr>
    </w:p>
    <w:p w14:paraId="6C3A3414" w14:textId="6845236B" w:rsidR="000D0363" w:rsidRDefault="000D0363">
      <w:pPr>
        <w:rPr>
          <w:rFonts w:ascii="Calibri" w:hAnsi="Calibri" w:cs="Calibri"/>
          <w:color w:val="000000" w:themeColor="text1"/>
        </w:rPr>
      </w:pPr>
      <w:r>
        <w:rPr>
          <w:rFonts w:ascii="Calibri" w:hAnsi="Calibri" w:cs="Calibri"/>
          <w:color w:val="000000" w:themeColor="text1"/>
        </w:rPr>
        <w:br w:type="page"/>
      </w:r>
    </w:p>
    <w:p w14:paraId="3F6CB369" w14:textId="77777777" w:rsidR="003D3A24" w:rsidRPr="003D3A24" w:rsidRDefault="003D3A24" w:rsidP="003D3A24">
      <w:pPr>
        <w:spacing w:line="264" w:lineRule="auto"/>
        <w:jc w:val="center"/>
        <w:rPr>
          <w:rFonts w:ascii="Calibri" w:hAnsi="Calibri" w:cs="Calibri"/>
          <w:color w:val="000000" w:themeColor="text1"/>
        </w:rPr>
      </w:pPr>
    </w:p>
    <w:p w14:paraId="7AC1E3FB" w14:textId="08B4ADB5" w:rsidR="000D0363" w:rsidRDefault="000D0363" w:rsidP="000D0363">
      <w:pPr>
        <w:spacing w:line="264" w:lineRule="auto"/>
        <w:jc w:val="center"/>
        <w:rPr>
          <w:rFonts w:ascii="Calibri" w:hAnsi="Calibri" w:cs="Calibri"/>
          <w:b/>
          <w:bCs/>
          <w:color w:val="2E74B5" w:themeColor="accent5" w:themeShade="BF"/>
          <w:lang w:val="en-GB"/>
        </w:rPr>
      </w:pPr>
      <w:r w:rsidRPr="000D0363">
        <w:rPr>
          <w:rFonts w:ascii="Calibri" w:hAnsi="Calibri" w:cs="Calibri"/>
          <w:b/>
          <w:bCs/>
          <w:color w:val="2E74B5" w:themeColor="accent5" w:themeShade="BF"/>
          <w:lang w:val="en-GB"/>
        </w:rPr>
        <w:t>Green chemistry strategies for vector-borne parasitic disease drug discovery: design, synthesis and biological evaluation of cashew nut shell liquid derivatives</w:t>
      </w:r>
    </w:p>
    <w:p w14:paraId="1E285261" w14:textId="52DC47BF" w:rsidR="00443D12" w:rsidRDefault="00443D12" w:rsidP="00443D12">
      <w:pPr>
        <w:spacing w:line="264" w:lineRule="auto"/>
        <w:jc w:val="center"/>
        <w:rPr>
          <w:rFonts w:ascii="Calibri" w:hAnsi="Calibri" w:cs="Calibri"/>
          <w:color w:val="000000" w:themeColor="text1"/>
          <w:vertAlign w:val="superscript"/>
          <w:lang w:val="it-IT"/>
        </w:rPr>
      </w:pPr>
      <w:r w:rsidRPr="00443D12">
        <w:rPr>
          <w:rFonts w:ascii="Calibri" w:hAnsi="Calibri" w:cs="Calibri"/>
          <w:color w:val="000000" w:themeColor="text1"/>
          <w:u w:val="single"/>
          <w:lang w:val="it-IT"/>
        </w:rPr>
        <w:t>Bianca Martinengo</w:t>
      </w:r>
      <w:r w:rsidRPr="00443D12">
        <w:rPr>
          <w:rFonts w:ascii="Calibri" w:hAnsi="Calibri" w:cs="Calibri"/>
          <w:color w:val="000000" w:themeColor="text1"/>
          <w:lang w:val="it-IT"/>
        </w:rPr>
        <w:t>,</w:t>
      </w:r>
      <w:r w:rsidRPr="00443D12">
        <w:rPr>
          <w:rFonts w:ascii="Calibri" w:hAnsi="Calibri" w:cs="Calibri"/>
          <w:color w:val="000000" w:themeColor="text1"/>
          <w:vertAlign w:val="superscript"/>
          <w:lang w:val="it-IT"/>
        </w:rPr>
        <w:t>1</w:t>
      </w:r>
      <w:r w:rsidRPr="00443D12">
        <w:rPr>
          <w:rFonts w:ascii="Calibri" w:hAnsi="Calibri" w:cs="Calibri"/>
          <w:color w:val="000000" w:themeColor="text1"/>
          <w:lang w:val="it-IT"/>
        </w:rPr>
        <w:t xml:space="preserve"> Elisa Uliassi,</w:t>
      </w:r>
      <w:r w:rsidRPr="00443D12">
        <w:rPr>
          <w:rFonts w:ascii="Calibri" w:hAnsi="Calibri" w:cs="Calibri"/>
          <w:color w:val="000000" w:themeColor="text1"/>
          <w:vertAlign w:val="superscript"/>
          <w:lang w:val="it-IT"/>
        </w:rPr>
        <w:t>1</w:t>
      </w:r>
      <w:r w:rsidRPr="00443D12">
        <w:rPr>
          <w:rFonts w:ascii="Calibri" w:hAnsi="Calibri" w:cs="Calibri"/>
          <w:color w:val="000000" w:themeColor="text1"/>
          <w:lang w:val="it-IT"/>
        </w:rPr>
        <w:t xml:space="preserve"> Luiz Antonio Soares Romeiro,</w:t>
      </w:r>
      <w:r w:rsidRPr="00443D12">
        <w:rPr>
          <w:rFonts w:ascii="Calibri" w:hAnsi="Calibri" w:cs="Calibri"/>
          <w:color w:val="000000" w:themeColor="text1"/>
          <w:vertAlign w:val="superscript"/>
          <w:lang w:val="it-IT"/>
        </w:rPr>
        <w:t>2</w:t>
      </w:r>
      <w:r w:rsidRPr="00443D12">
        <w:rPr>
          <w:rFonts w:ascii="Calibri" w:hAnsi="Calibri" w:cs="Calibri"/>
          <w:color w:val="000000" w:themeColor="text1"/>
          <w:lang w:val="it-IT"/>
        </w:rPr>
        <w:t xml:space="preserve"> Maria de Nazaré Correia Soeiro,</w:t>
      </w:r>
      <w:r w:rsidRPr="00443D12">
        <w:rPr>
          <w:rFonts w:ascii="Calibri" w:hAnsi="Calibri" w:cs="Calibri"/>
          <w:color w:val="000000" w:themeColor="text1"/>
          <w:vertAlign w:val="superscript"/>
          <w:lang w:val="it-IT"/>
        </w:rPr>
        <w:t>3</w:t>
      </w:r>
      <w:r w:rsidRPr="00443D12">
        <w:rPr>
          <w:rFonts w:ascii="Calibri" w:hAnsi="Calibri" w:cs="Calibri"/>
          <w:color w:val="000000" w:themeColor="text1"/>
          <w:lang w:val="it-IT"/>
        </w:rPr>
        <w:t xml:space="preserve"> Harry P. De Koning,</w:t>
      </w:r>
      <w:r w:rsidRPr="00443D12">
        <w:rPr>
          <w:rFonts w:ascii="Calibri" w:hAnsi="Calibri" w:cs="Calibri"/>
          <w:color w:val="000000" w:themeColor="text1"/>
          <w:vertAlign w:val="superscript"/>
          <w:lang w:val="it-IT"/>
        </w:rPr>
        <w:t xml:space="preserve">4 </w:t>
      </w:r>
      <w:r w:rsidRPr="00443D12">
        <w:rPr>
          <w:rFonts w:ascii="Calibri" w:hAnsi="Calibri" w:cs="Calibri"/>
          <w:color w:val="000000" w:themeColor="text1"/>
          <w:lang w:val="it-IT"/>
        </w:rPr>
        <w:t>Maria Laura Bolognesi*</w:t>
      </w:r>
      <w:r w:rsidRPr="00443D12">
        <w:rPr>
          <w:rFonts w:ascii="Calibri" w:hAnsi="Calibri" w:cs="Calibri"/>
          <w:color w:val="000000" w:themeColor="text1"/>
          <w:vertAlign w:val="superscript"/>
          <w:lang w:val="it-IT"/>
        </w:rPr>
        <w:t>1</w:t>
      </w:r>
    </w:p>
    <w:p w14:paraId="4C527606" w14:textId="77777777" w:rsidR="00443D12" w:rsidRPr="00443D12" w:rsidRDefault="00443D12" w:rsidP="00443D12">
      <w:pPr>
        <w:spacing w:line="264" w:lineRule="auto"/>
        <w:jc w:val="center"/>
        <w:rPr>
          <w:rFonts w:ascii="Calibri" w:hAnsi="Calibri" w:cs="Calibri"/>
          <w:color w:val="000000" w:themeColor="text1"/>
          <w:sz w:val="22"/>
          <w:szCs w:val="22"/>
          <w:lang w:val="it-IT"/>
        </w:rPr>
      </w:pPr>
    </w:p>
    <w:p w14:paraId="0BED1E65" w14:textId="77777777" w:rsidR="00443D12" w:rsidRPr="00443D12" w:rsidRDefault="00443D12" w:rsidP="00443D12">
      <w:pPr>
        <w:spacing w:line="264" w:lineRule="auto"/>
        <w:jc w:val="center"/>
        <w:rPr>
          <w:rFonts w:ascii="Calibri" w:hAnsi="Calibri" w:cs="Calibri"/>
          <w:color w:val="000000" w:themeColor="text1"/>
          <w:sz w:val="22"/>
          <w:szCs w:val="22"/>
          <w:lang w:val="en-GB"/>
        </w:rPr>
      </w:pPr>
      <w:r w:rsidRPr="00443D12">
        <w:rPr>
          <w:rFonts w:ascii="Calibri" w:hAnsi="Calibri" w:cs="Calibri"/>
          <w:color w:val="000000" w:themeColor="text1"/>
          <w:sz w:val="22"/>
          <w:szCs w:val="22"/>
          <w:vertAlign w:val="superscript"/>
          <w:lang w:val="en-GB"/>
        </w:rPr>
        <w:t>1</w:t>
      </w:r>
      <w:r w:rsidRPr="00443D12">
        <w:rPr>
          <w:rFonts w:ascii="Calibri" w:hAnsi="Calibri" w:cs="Calibri"/>
          <w:color w:val="000000" w:themeColor="text1"/>
          <w:sz w:val="22"/>
          <w:szCs w:val="22"/>
          <w:lang w:val="en-GB"/>
        </w:rPr>
        <w:t xml:space="preserve"> Department of Pharmacy and Biotechnology, Alma Mater Studiorum - University of Bologna, Via Belmeloro 6, 40126 Bologna, Italy; </w:t>
      </w:r>
      <w:r w:rsidRPr="00443D12">
        <w:rPr>
          <w:rFonts w:ascii="Calibri" w:hAnsi="Calibri" w:cs="Calibri"/>
          <w:color w:val="000000" w:themeColor="text1"/>
          <w:sz w:val="22"/>
          <w:szCs w:val="22"/>
          <w:vertAlign w:val="superscript"/>
          <w:lang w:val="en-GB"/>
        </w:rPr>
        <w:t>2</w:t>
      </w:r>
      <w:r w:rsidRPr="00443D12">
        <w:rPr>
          <w:rFonts w:ascii="Calibri" w:hAnsi="Calibri" w:cs="Calibri"/>
          <w:color w:val="000000" w:themeColor="text1"/>
          <w:sz w:val="22"/>
          <w:szCs w:val="22"/>
          <w:lang w:val="en-GB"/>
        </w:rPr>
        <w:t xml:space="preserve"> Department of Pharmacy, Faculty of Health Sciences, Tropical Medicine Center, Faculty of Medicine, University of Brasilia, Federal District, Brasilia 70910 900, Brazil </w:t>
      </w:r>
      <w:r w:rsidRPr="00443D12">
        <w:rPr>
          <w:rFonts w:ascii="Calibri" w:hAnsi="Calibri" w:cs="Calibri"/>
          <w:color w:val="000000" w:themeColor="text1"/>
          <w:sz w:val="22"/>
          <w:szCs w:val="22"/>
          <w:vertAlign w:val="superscript"/>
          <w:lang w:val="en-GB"/>
        </w:rPr>
        <w:t>3</w:t>
      </w:r>
      <w:r w:rsidRPr="00443D12">
        <w:rPr>
          <w:rFonts w:ascii="Calibri" w:hAnsi="Calibri" w:cs="Calibri"/>
          <w:color w:val="000000" w:themeColor="text1"/>
          <w:sz w:val="22"/>
          <w:szCs w:val="22"/>
          <w:lang w:val="en-GB"/>
        </w:rPr>
        <w:t xml:space="preserve"> Laboratório de Biologia Celular do Instituto Oswaldo Cruz, Fiocruz. Avenida Brasil 4365, Manguinhos, CEP 21040360, Manguinhos, Rio de Janeiro, Brazil </w:t>
      </w:r>
      <w:r w:rsidRPr="00443D12">
        <w:rPr>
          <w:rFonts w:ascii="Calibri" w:hAnsi="Calibri" w:cs="Calibri"/>
          <w:color w:val="000000" w:themeColor="text1"/>
          <w:sz w:val="22"/>
          <w:szCs w:val="22"/>
          <w:vertAlign w:val="superscript"/>
          <w:lang w:val="en-GB"/>
        </w:rPr>
        <w:t>4</w:t>
      </w:r>
      <w:r w:rsidRPr="00443D12">
        <w:rPr>
          <w:rFonts w:ascii="Calibri" w:hAnsi="Calibri" w:cs="Calibri"/>
          <w:color w:val="000000" w:themeColor="text1"/>
          <w:sz w:val="22"/>
          <w:szCs w:val="22"/>
          <w:lang w:val="en-GB"/>
        </w:rPr>
        <w:t xml:space="preserve"> School of Infection and Immunity, College of Medical, Veterinary and Life Sciences, University of Glasgow, Glasgow G43 2DX, United Kingdom</w:t>
      </w:r>
    </w:p>
    <w:p w14:paraId="6303BFC3" w14:textId="61E6AE4F" w:rsidR="000D0363" w:rsidRPr="00443D12" w:rsidRDefault="00000000" w:rsidP="000D0363">
      <w:pPr>
        <w:spacing w:line="264" w:lineRule="auto"/>
        <w:jc w:val="center"/>
        <w:rPr>
          <w:rFonts w:ascii="Calibri" w:hAnsi="Calibri" w:cs="Calibri"/>
          <w:color w:val="000000" w:themeColor="text1"/>
          <w:sz w:val="22"/>
          <w:szCs w:val="22"/>
        </w:rPr>
      </w:pPr>
      <w:hyperlink r:id="rId18" w:history="1">
        <w:r w:rsidR="00443D12" w:rsidRPr="00847A4B">
          <w:rPr>
            <w:rStyle w:val="Hyperlink"/>
            <w:rFonts w:ascii="Calibri" w:hAnsi="Calibri" w:cs="Calibri"/>
            <w:sz w:val="22"/>
            <w:szCs w:val="22"/>
          </w:rPr>
          <w:t>bianca.martinengo2@unibo.it</w:t>
        </w:r>
      </w:hyperlink>
      <w:r w:rsidR="00443D12">
        <w:rPr>
          <w:rFonts w:ascii="Calibri" w:hAnsi="Calibri" w:cs="Calibri"/>
          <w:color w:val="000000" w:themeColor="text1"/>
          <w:sz w:val="22"/>
          <w:szCs w:val="22"/>
        </w:rPr>
        <w:t xml:space="preserve"> </w:t>
      </w:r>
    </w:p>
    <w:p w14:paraId="10E350BE" w14:textId="77777777" w:rsidR="00443D12" w:rsidRPr="00443D12" w:rsidRDefault="00443D12" w:rsidP="00443D12">
      <w:pPr>
        <w:spacing w:line="264" w:lineRule="auto"/>
        <w:jc w:val="both"/>
        <w:rPr>
          <w:rFonts w:ascii="Calibri" w:hAnsi="Calibri" w:cs="Calibri"/>
          <w:color w:val="000000" w:themeColor="text1"/>
          <w:sz w:val="22"/>
          <w:szCs w:val="22"/>
          <w:lang w:val="en-GB"/>
        </w:rPr>
      </w:pPr>
    </w:p>
    <w:p w14:paraId="57E8B956" w14:textId="77777777" w:rsidR="00443D12" w:rsidRPr="00E45C3D" w:rsidRDefault="00443D12" w:rsidP="00443D12">
      <w:pPr>
        <w:spacing w:line="264" w:lineRule="auto"/>
        <w:jc w:val="both"/>
        <w:rPr>
          <w:rFonts w:ascii="Calibri" w:hAnsi="Calibri" w:cs="Calibri"/>
          <w:color w:val="000000" w:themeColor="text1"/>
          <w:lang w:val="it-IT"/>
        </w:rPr>
      </w:pPr>
      <w:r w:rsidRPr="00E45C3D">
        <w:rPr>
          <w:rFonts w:ascii="Calibri" w:hAnsi="Calibri" w:cs="Calibri"/>
          <w:color w:val="000000" w:themeColor="text1"/>
          <w:lang w:val="it-IT"/>
        </w:rPr>
        <w:t>The use of biowaste in medicinal chemistry for developing new drug candidates has gained significant attention, particularly in the context of vector-borne parasitic diseases (VBPD). Cashew nutshell liquid (CNSL), derived as a by-product during the processing of cashew nuts (</w:t>
      </w:r>
      <w:r w:rsidRPr="00E45C3D">
        <w:rPr>
          <w:rFonts w:ascii="Calibri" w:hAnsi="Calibri" w:cs="Calibri"/>
          <w:i/>
          <w:iCs/>
          <w:color w:val="000000" w:themeColor="text1"/>
          <w:lang w:val="it-IT"/>
        </w:rPr>
        <w:t>Anacardium occidentale</w:t>
      </w:r>
      <w:r w:rsidRPr="00E45C3D">
        <w:rPr>
          <w:rFonts w:ascii="Calibri" w:hAnsi="Calibri" w:cs="Calibri"/>
          <w:color w:val="000000" w:themeColor="text1"/>
          <w:lang w:val="it-IT"/>
        </w:rPr>
        <w:t>), is an inedible oil rich in phenolic compounds such as cardanols, cardols, 2-methylcardols, and anacardic acids. These compounds share a pentadecyl alkyl side chain with varying degrees of unsaturation. Despite CNSL’s potential as a source of drug precursors, its transformation into value-added small molecules remains underexplored. While CNSL components exhibit intrinsic biological activity, they are not potent enough to serve as standalone drug candidates.</w:t>
      </w:r>
    </w:p>
    <w:p w14:paraId="161AF36F" w14:textId="77777777" w:rsidR="00443D12" w:rsidRPr="00E45C3D" w:rsidRDefault="00443D12" w:rsidP="00443D12">
      <w:pPr>
        <w:spacing w:line="264" w:lineRule="auto"/>
        <w:jc w:val="both"/>
        <w:rPr>
          <w:rFonts w:ascii="Calibri" w:hAnsi="Calibri" w:cs="Calibri"/>
          <w:color w:val="000000" w:themeColor="text1"/>
          <w:lang w:val="it-IT"/>
        </w:rPr>
      </w:pPr>
      <w:r w:rsidRPr="00E45C3D">
        <w:rPr>
          <w:rFonts w:ascii="Calibri" w:hAnsi="Calibri" w:cs="Calibri"/>
          <w:color w:val="000000" w:themeColor="text1"/>
          <w:lang w:val="it-IT"/>
        </w:rPr>
        <w:t>Interestingly, CNSL and its derivatives have demonstrated potential in the treatment of VBPDs, which are a major global health concern due to their prevalence and lethality in regions such as Asia, Africa, the Americas, and the Mediterranean basin. The need for novel and effective treatments is critical, as current pharmacological options are inadequate.</w:t>
      </w:r>
    </w:p>
    <w:p w14:paraId="22F99EFA" w14:textId="77777777" w:rsidR="00443D12" w:rsidRPr="00E45C3D" w:rsidRDefault="00443D12" w:rsidP="00443D12">
      <w:pPr>
        <w:spacing w:line="264" w:lineRule="auto"/>
        <w:jc w:val="both"/>
        <w:rPr>
          <w:rFonts w:ascii="Calibri" w:hAnsi="Calibri" w:cs="Calibri"/>
          <w:color w:val="000000" w:themeColor="text1"/>
          <w:lang w:val="it-IT"/>
        </w:rPr>
      </w:pPr>
      <w:r w:rsidRPr="00E45C3D">
        <w:rPr>
          <w:rFonts w:ascii="Calibri" w:hAnsi="Calibri" w:cs="Calibri"/>
          <w:color w:val="000000" w:themeColor="text1"/>
          <w:lang w:val="it-IT"/>
        </w:rPr>
        <w:t xml:space="preserve">In response to this challenge, our research group has investigated the use of CNSL as a sustainable starting material for developing antiparasitic compounds. Employing environmentally friendly synthetic approaches, we synthesized a new series of semi-synthetic CNSL derivatives using green chemistry principles. These derivatives were further modified by incorporating lipophilic cations, such as triphenylphosphonium </w:t>
      </w:r>
      <w:r w:rsidRPr="00E45C3D">
        <w:rPr>
          <w:rFonts w:ascii="Calibri" w:hAnsi="Calibri" w:cs="Calibri"/>
          <w:color w:val="000000" w:themeColor="text1"/>
          <w:lang w:val="it-IT"/>
        </w:rPr>
        <w:lastRenderedPageBreak/>
        <w:t>(TPP) salts, leveraging a mitochondrion-targeting strategy known to enhance drug selectivity and cidal activity against parasites.</w:t>
      </w:r>
    </w:p>
    <w:p w14:paraId="5D549265" w14:textId="4A671C82" w:rsidR="00443D12" w:rsidRPr="00443D12" w:rsidRDefault="00443D12" w:rsidP="00443D12">
      <w:pPr>
        <w:spacing w:line="264" w:lineRule="auto"/>
        <w:jc w:val="both"/>
        <w:rPr>
          <w:rFonts w:ascii="Calibri" w:hAnsi="Calibri" w:cs="Calibri"/>
          <w:color w:val="000000" w:themeColor="text1"/>
          <w:sz w:val="22"/>
          <w:szCs w:val="22"/>
          <w:lang w:val="it-IT"/>
        </w:rPr>
      </w:pPr>
      <w:r w:rsidRPr="00443D12">
        <w:rPr>
          <w:rFonts w:ascii="Calibri" w:hAnsi="Calibri" w:cs="Calibri"/>
          <w:color w:val="000000" w:themeColor="text1"/>
          <w:sz w:val="22"/>
          <w:szCs w:val="22"/>
          <w:lang w:val="it-IT"/>
        </w:rPr>
        <w:t xml:space="preserve">The synthesized compounds underwent rigorous screening against major human and animal </w:t>
      </w:r>
      <w:r w:rsidRPr="00E45C3D">
        <w:rPr>
          <w:rFonts w:ascii="Calibri" w:hAnsi="Calibri" w:cs="Calibri"/>
          <w:color w:val="000000" w:themeColor="text1"/>
          <w:lang w:val="it-IT"/>
        </w:rPr>
        <w:t>VBPD pathogens, including </w:t>
      </w:r>
      <w:r w:rsidRPr="00E45C3D">
        <w:rPr>
          <w:rFonts w:ascii="Calibri" w:hAnsi="Calibri" w:cs="Calibri"/>
          <w:i/>
          <w:iCs/>
          <w:color w:val="000000" w:themeColor="text1"/>
          <w:lang w:val="it-IT"/>
        </w:rPr>
        <w:t>Trypanosoma spp.</w:t>
      </w:r>
      <w:r w:rsidRPr="00E45C3D">
        <w:rPr>
          <w:rFonts w:ascii="Calibri" w:hAnsi="Calibri" w:cs="Calibri"/>
          <w:color w:val="000000" w:themeColor="text1"/>
          <w:lang w:val="it-IT"/>
        </w:rPr>
        <w:t> and </w:t>
      </w:r>
      <w:r w:rsidRPr="00E45C3D">
        <w:rPr>
          <w:rFonts w:ascii="Calibri" w:hAnsi="Calibri" w:cs="Calibri"/>
          <w:i/>
          <w:iCs/>
          <w:color w:val="000000" w:themeColor="text1"/>
          <w:lang w:val="it-IT"/>
        </w:rPr>
        <w:t>Leishmania spp.</w:t>
      </w:r>
      <w:r w:rsidRPr="00E45C3D">
        <w:rPr>
          <w:rFonts w:ascii="Calibri" w:hAnsi="Calibri" w:cs="Calibri"/>
          <w:color w:val="000000" w:themeColor="text1"/>
          <w:lang w:val="it-IT"/>
        </w:rPr>
        <w:t>, demonstrating promising in vitro and ex vivo activity. Notably, the phosphonium salt derivatives exhibited significant antiparasitic effects with low in vitro toxicity (selectivity index, SI &gt; 1</w:t>
      </w:r>
      <w:r w:rsidR="00BE0AAE" w:rsidRPr="00E45C3D">
        <w:rPr>
          <w:rFonts w:ascii="Calibri" w:hAnsi="Calibri" w:cs="Calibri"/>
          <w:color w:val="000000" w:themeColor="text1"/>
          <w:lang w:val="it-IT"/>
        </w:rPr>
        <w:t>00</w:t>
      </w:r>
      <w:r w:rsidRPr="00E45C3D">
        <w:rPr>
          <w:rFonts w:ascii="Calibri" w:hAnsi="Calibri" w:cs="Calibri"/>
          <w:color w:val="000000" w:themeColor="text1"/>
          <w:lang w:val="it-IT"/>
        </w:rPr>
        <w:t>0). Ongoing studies are focused on elucidating the compounds’ modes of action. These findings highlight the potential of CNSL derivatives as sustainable and effective candidates for addressing the urgent need for new VBPD treatments.</w:t>
      </w:r>
    </w:p>
    <w:p w14:paraId="5D150A6B" w14:textId="77777777" w:rsidR="00443D12" w:rsidRDefault="00443D12" w:rsidP="00443D12">
      <w:pPr>
        <w:spacing w:line="264" w:lineRule="auto"/>
        <w:jc w:val="both"/>
        <w:rPr>
          <w:rFonts w:ascii="Calibri" w:hAnsi="Calibri" w:cs="Calibri"/>
          <w:b/>
          <w:bCs/>
          <w:color w:val="000000" w:themeColor="text1"/>
          <w:sz w:val="22"/>
          <w:szCs w:val="22"/>
          <w:lang w:val="en-GB"/>
        </w:rPr>
      </w:pPr>
    </w:p>
    <w:p w14:paraId="5D19292F" w14:textId="7B9D500D" w:rsidR="00443D12" w:rsidRPr="00443D12" w:rsidRDefault="00443D12" w:rsidP="00443D12">
      <w:pPr>
        <w:spacing w:line="264" w:lineRule="auto"/>
        <w:jc w:val="both"/>
        <w:rPr>
          <w:rFonts w:ascii="Calibri" w:hAnsi="Calibri" w:cs="Calibri"/>
          <w:b/>
          <w:bCs/>
          <w:color w:val="000000" w:themeColor="text1"/>
          <w:sz w:val="22"/>
          <w:szCs w:val="22"/>
          <w:lang w:val="en-GB"/>
        </w:rPr>
      </w:pPr>
      <w:r w:rsidRPr="00443D12">
        <w:rPr>
          <w:rFonts w:ascii="Calibri" w:hAnsi="Calibri" w:cs="Calibri"/>
          <w:b/>
          <w:bCs/>
          <w:color w:val="000000" w:themeColor="text1"/>
          <w:sz w:val="22"/>
          <w:szCs w:val="22"/>
          <w:lang w:val="en-GB"/>
        </w:rPr>
        <w:t>References</w:t>
      </w:r>
    </w:p>
    <w:p w14:paraId="294DD767" w14:textId="77777777" w:rsidR="00443D12" w:rsidRPr="00443D12" w:rsidRDefault="00443D12" w:rsidP="00443D12">
      <w:pPr>
        <w:spacing w:line="264" w:lineRule="auto"/>
        <w:jc w:val="both"/>
        <w:rPr>
          <w:rFonts w:ascii="Calibri" w:hAnsi="Calibri" w:cs="Calibri"/>
          <w:color w:val="000000" w:themeColor="text1"/>
          <w:sz w:val="22"/>
          <w:szCs w:val="22"/>
          <w:lang w:val="en-GB"/>
        </w:rPr>
      </w:pPr>
      <w:r w:rsidRPr="00443D12">
        <w:rPr>
          <w:rFonts w:ascii="Calibri" w:hAnsi="Calibri" w:cs="Calibri"/>
          <w:color w:val="000000" w:themeColor="text1"/>
          <w:sz w:val="22"/>
          <w:szCs w:val="22"/>
          <w:lang w:val="en-GB"/>
        </w:rPr>
        <w:fldChar w:fldCharType="begin" w:fldLock="1"/>
      </w:r>
      <w:r w:rsidRPr="00443D12">
        <w:rPr>
          <w:rFonts w:ascii="Calibri" w:hAnsi="Calibri" w:cs="Calibri"/>
          <w:color w:val="000000" w:themeColor="text1"/>
          <w:sz w:val="22"/>
          <w:szCs w:val="22"/>
          <w:lang w:val="en-GB"/>
        </w:rPr>
        <w:instrText xml:space="preserve">ADDIN Mendeley Bibliography CSL_BIBLIOGRAPHY </w:instrText>
      </w:r>
      <w:r w:rsidRPr="00443D12">
        <w:rPr>
          <w:rFonts w:ascii="Calibri" w:hAnsi="Calibri" w:cs="Calibri"/>
          <w:color w:val="000000" w:themeColor="text1"/>
          <w:sz w:val="22"/>
          <w:szCs w:val="22"/>
          <w:lang w:val="en-GB"/>
        </w:rPr>
        <w:fldChar w:fldCharType="separate"/>
      </w:r>
      <w:r w:rsidRPr="00443D12">
        <w:rPr>
          <w:rFonts w:ascii="Calibri" w:hAnsi="Calibri" w:cs="Calibri"/>
          <w:color w:val="000000" w:themeColor="text1"/>
          <w:sz w:val="22"/>
          <w:szCs w:val="22"/>
          <w:lang w:val="en-GB"/>
        </w:rPr>
        <w:t>(1)</w:t>
      </w:r>
      <w:r w:rsidRPr="00443D12">
        <w:rPr>
          <w:rFonts w:ascii="Calibri" w:hAnsi="Calibri" w:cs="Calibri"/>
          <w:color w:val="000000" w:themeColor="text1"/>
          <w:sz w:val="22"/>
          <w:szCs w:val="22"/>
          <w:lang w:val="en-GB"/>
        </w:rPr>
        <w:tab/>
        <w:t xml:space="preserve">Espro, C.; Paone, E.; Mauriello, F.; Gotti, R.; Uliassi, E.; Bolognesi, M. L.; Rodríguez-Padrón, D.; Luque, R. Sustainable Production of Pharmaceutical, Nutraceutical and Bioactive Compounds from Biomass and Waste. </w:t>
      </w:r>
      <w:r w:rsidRPr="00443D12">
        <w:rPr>
          <w:rFonts w:ascii="Calibri" w:hAnsi="Calibri" w:cs="Calibri"/>
          <w:i/>
          <w:iCs/>
          <w:color w:val="000000" w:themeColor="text1"/>
          <w:sz w:val="22"/>
          <w:szCs w:val="22"/>
          <w:lang w:val="en-GB"/>
        </w:rPr>
        <w:t>Chem. Soc. Rev.</w:t>
      </w:r>
      <w:r w:rsidRPr="00443D12">
        <w:rPr>
          <w:rFonts w:ascii="Calibri" w:hAnsi="Calibri" w:cs="Calibri"/>
          <w:color w:val="000000" w:themeColor="text1"/>
          <w:sz w:val="22"/>
          <w:szCs w:val="22"/>
          <w:lang w:val="en-GB"/>
        </w:rPr>
        <w:t xml:space="preserve"> </w:t>
      </w:r>
      <w:r w:rsidRPr="00443D12">
        <w:rPr>
          <w:rFonts w:ascii="Calibri" w:hAnsi="Calibri" w:cs="Calibri"/>
          <w:b/>
          <w:bCs/>
          <w:color w:val="000000" w:themeColor="text1"/>
          <w:sz w:val="22"/>
          <w:szCs w:val="22"/>
          <w:lang w:val="en-GB"/>
        </w:rPr>
        <w:t>2021</w:t>
      </w:r>
      <w:r w:rsidRPr="00443D12">
        <w:rPr>
          <w:rFonts w:ascii="Calibri" w:hAnsi="Calibri" w:cs="Calibri"/>
          <w:color w:val="000000" w:themeColor="text1"/>
          <w:sz w:val="22"/>
          <w:szCs w:val="22"/>
          <w:lang w:val="en-GB"/>
        </w:rPr>
        <w:t xml:space="preserve">, </w:t>
      </w:r>
      <w:r w:rsidRPr="00443D12">
        <w:rPr>
          <w:rFonts w:ascii="Calibri" w:hAnsi="Calibri" w:cs="Calibri"/>
          <w:i/>
          <w:iCs/>
          <w:color w:val="000000" w:themeColor="text1"/>
          <w:sz w:val="22"/>
          <w:szCs w:val="22"/>
          <w:lang w:val="en-GB"/>
        </w:rPr>
        <w:t>50</w:t>
      </w:r>
      <w:r w:rsidRPr="00443D12">
        <w:rPr>
          <w:rFonts w:ascii="Calibri" w:hAnsi="Calibri" w:cs="Calibri"/>
          <w:color w:val="000000" w:themeColor="text1"/>
          <w:sz w:val="22"/>
          <w:szCs w:val="22"/>
          <w:lang w:val="en-GB"/>
        </w:rPr>
        <w:t xml:space="preserve"> (20), 11191–11207. https://doi.org/10.1039/d1cs00524c.</w:t>
      </w:r>
    </w:p>
    <w:p w14:paraId="2A4D5067" w14:textId="77777777" w:rsidR="00443D12" w:rsidRPr="00443D12" w:rsidRDefault="00443D12" w:rsidP="00443D12">
      <w:pPr>
        <w:spacing w:line="264" w:lineRule="auto"/>
        <w:jc w:val="both"/>
        <w:rPr>
          <w:rFonts w:ascii="Calibri" w:hAnsi="Calibri" w:cs="Calibri"/>
          <w:color w:val="000000" w:themeColor="text1"/>
          <w:sz w:val="22"/>
          <w:szCs w:val="22"/>
          <w:lang w:val="en-GB"/>
        </w:rPr>
      </w:pPr>
      <w:r w:rsidRPr="00443D12">
        <w:rPr>
          <w:rFonts w:ascii="Calibri" w:hAnsi="Calibri" w:cs="Calibri"/>
          <w:color w:val="000000" w:themeColor="text1"/>
          <w:sz w:val="22"/>
          <w:szCs w:val="22"/>
          <w:lang w:val="en-GB"/>
        </w:rPr>
        <w:t>(2)</w:t>
      </w:r>
      <w:r w:rsidRPr="00443D12">
        <w:rPr>
          <w:rFonts w:ascii="Calibri" w:hAnsi="Calibri" w:cs="Calibri"/>
          <w:color w:val="000000" w:themeColor="text1"/>
          <w:sz w:val="22"/>
          <w:szCs w:val="22"/>
          <w:lang w:val="en-GB"/>
        </w:rPr>
        <w:tab/>
        <w:t xml:space="preserve">Shi, Y.; Kamer, P. C. J.; Cole-Hamilton, D. J. Synthesis of Pharmaceutical Drugs from Cardanol Derived from Cashew Nut Shell Liquid. </w:t>
      </w:r>
      <w:r w:rsidRPr="00443D12">
        <w:rPr>
          <w:rFonts w:ascii="Calibri" w:hAnsi="Calibri" w:cs="Calibri"/>
          <w:i/>
          <w:iCs/>
          <w:color w:val="000000" w:themeColor="text1"/>
          <w:sz w:val="22"/>
          <w:szCs w:val="22"/>
          <w:lang w:val="en-GB"/>
        </w:rPr>
        <w:t>Green Chem.</w:t>
      </w:r>
      <w:r w:rsidRPr="00443D12">
        <w:rPr>
          <w:rFonts w:ascii="Calibri" w:hAnsi="Calibri" w:cs="Calibri"/>
          <w:color w:val="000000" w:themeColor="text1"/>
          <w:sz w:val="22"/>
          <w:szCs w:val="22"/>
          <w:lang w:val="en-GB"/>
        </w:rPr>
        <w:t xml:space="preserve"> </w:t>
      </w:r>
      <w:r w:rsidRPr="00443D12">
        <w:rPr>
          <w:rFonts w:ascii="Calibri" w:hAnsi="Calibri" w:cs="Calibri"/>
          <w:b/>
          <w:bCs/>
          <w:color w:val="000000" w:themeColor="text1"/>
          <w:sz w:val="22"/>
          <w:szCs w:val="22"/>
          <w:lang w:val="en-GB"/>
        </w:rPr>
        <w:t>2019</w:t>
      </w:r>
      <w:r w:rsidRPr="00443D12">
        <w:rPr>
          <w:rFonts w:ascii="Calibri" w:hAnsi="Calibri" w:cs="Calibri"/>
          <w:color w:val="000000" w:themeColor="text1"/>
          <w:sz w:val="22"/>
          <w:szCs w:val="22"/>
          <w:lang w:val="en-GB"/>
        </w:rPr>
        <w:t xml:space="preserve">, </w:t>
      </w:r>
      <w:r w:rsidRPr="00443D12">
        <w:rPr>
          <w:rFonts w:ascii="Calibri" w:hAnsi="Calibri" w:cs="Calibri"/>
          <w:i/>
          <w:iCs/>
          <w:color w:val="000000" w:themeColor="text1"/>
          <w:sz w:val="22"/>
          <w:szCs w:val="22"/>
          <w:lang w:val="en-GB"/>
        </w:rPr>
        <w:t>21</w:t>
      </w:r>
      <w:r w:rsidRPr="00443D12">
        <w:rPr>
          <w:rFonts w:ascii="Calibri" w:hAnsi="Calibri" w:cs="Calibri"/>
          <w:color w:val="000000" w:themeColor="text1"/>
          <w:sz w:val="22"/>
          <w:szCs w:val="22"/>
          <w:lang w:val="en-GB"/>
        </w:rPr>
        <w:t xml:space="preserve"> (5), 1043–1053. https://doi.org/10.1039/c8gc03823f.</w:t>
      </w:r>
    </w:p>
    <w:p w14:paraId="73124BEB" w14:textId="77777777" w:rsidR="00443D12" w:rsidRPr="00CF0E0C" w:rsidRDefault="00443D12" w:rsidP="00443D12">
      <w:pPr>
        <w:spacing w:line="264" w:lineRule="auto"/>
        <w:jc w:val="both"/>
        <w:rPr>
          <w:rFonts w:ascii="Calibri" w:hAnsi="Calibri" w:cs="Calibri"/>
          <w:color w:val="000000" w:themeColor="text1"/>
          <w:sz w:val="22"/>
          <w:szCs w:val="22"/>
          <w:lang w:val="pt-PT"/>
        </w:rPr>
      </w:pPr>
      <w:r w:rsidRPr="00443D12">
        <w:rPr>
          <w:rFonts w:ascii="Calibri" w:hAnsi="Calibri" w:cs="Calibri"/>
          <w:color w:val="000000" w:themeColor="text1"/>
          <w:sz w:val="22"/>
          <w:szCs w:val="22"/>
          <w:lang w:val="en-GB"/>
        </w:rPr>
        <w:t>(3)</w:t>
      </w:r>
      <w:r w:rsidRPr="00443D12">
        <w:rPr>
          <w:rFonts w:ascii="Calibri" w:hAnsi="Calibri" w:cs="Calibri"/>
          <w:color w:val="000000" w:themeColor="text1"/>
          <w:sz w:val="22"/>
          <w:szCs w:val="22"/>
          <w:lang w:val="en-GB"/>
        </w:rPr>
        <w:tab/>
        <w:t xml:space="preserve">Cerone, M.; Uliassi, E.; Prati, F.; Ebiloma, G. U.; Lemgruber, L.; Bergamini, C.; Watson, D. G.; de A. M. Ferreira, T.; Roth Cardoso, G. S. H.; Soares Romeiro, L. A.; de Koning, H. P.; Bolognesi, M. L. Discovery of Sustainable Drugs for Neglected Tropical Diseases: Cashew Nut Shell Liquid (CNSL)-Based Hybrids Target Mitochondrial Function and ATP Production in Trypanosoma Brucei. </w:t>
      </w:r>
      <w:r w:rsidRPr="00CF0E0C">
        <w:rPr>
          <w:rFonts w:ascii="Calibri" w:hAnsi="Calibri" w:cs="Calibri"/>
          <w:i/>
          <w:iCs/>
          <w:color w:val="000000" w:themeColor="text1"/>
          <w:sz w:val="22"/>
          <w:szCs w:val="22"/>
          <w:lang w:val="pt-PT"/>
        </w:rPr>
        <w:t>ChemMedChem</w:t>
      </w:r>
      <w:r w:rsidRPr="00CF0E0C">
        <w:rPr>
          <w:rFonts w:ascii="Calibri" w:hAnsi="Calibri" w:cs="Calibri"/>
          <w:color w:val="000000" w:themeColor="text1"/>
          <w:sz w:val="22"/>
          <w:szCs w:val="22"/>
          <w:lang w:val="pt-PT"/>
        </w:rPr>
        <w:t xml:space="preserve"> </w:t>
      </w:r>
      <w:r w:rsidRPr="00CF0E0C">
        <w:rPr>
          <w:rFonts w:ascii="Calibri" w:hAnsi="Calibri" w:cs="Calibri"/>
          <w:b/>
          <w:bCs/>
          <w:color w:val="000000" w:themeColor="text1"/>
          <w:sz w:val="22"/>
          <w:szCs w:val="22"/>
          <w:lang w:val="pt-PT"/>
        </w:rPr>
        <w:t>2019</w:t>
      </w:r>
      <w:r w:rsidRPr="00CF0E0C">
        <w:rPr>
          <w:rFonts w:ascii="Calibri" w:hAnsi="Calibri" w:cs="Calibri"/>
          <w:color w:val="000000" w:themeColor="text1"/>
          <w:sz w:val="22"/>
          <w:szCs w:val="22"/>
          <w:lang w:val="pt-PT"/>
        </w:rPr>
        <w:t xml:space="preserve">, </w:t>
      </w:r>
      <w:r w:rsidRPr="00CF0E0C">
        <w:rPr>
          <w:rFonts w:ascii="Calibri" w:hAnsi="Calibri" w:cs="Calibri"/>
          <w:i/>
          <w:iCs/>
          <w:color w:val="000000" w:themeColor="text1"/>
          <w:sz w:val="22"/>
          <w:szCs w:val="22"/>
          <w:lang w:val="pt-PT"/>
        </w:rPr>
        <w:t>14</w:t>
      </w:r>
      <w:r w:rsidRPr="00CF0E0C">
        <w:rPr>
          <w:rFonts w:ascii="Calibri" w:hAnsi="Calibri" w:cs="Calibri"/>
          <w:color w:val="000000" w:themeColor="text1"/>
          <w:sz w:val="22"/>
          <w:szCs w:val="22"/>
          <w:lang w:val="pt-PT"/>
        </w:rPr>
        <w:t xml:space="preserve"> (6), 621–635. https://doi.org/10.1002/cmdc.201800790.</w:t>
      </w:r>
    </w:p>
    <w:p w14:paraId="1FF761AC" w14:textId="77777777" w:rsidR="00443D12" w:rsidRPr="00443D12" w:rsidRDefault="00443D12" w:rsidP="00443D12">
      <w:pPr>
        <w:spacing w:line="264" w:lineRule="auto"/>
        <w:jc w:val="both"/>
        <w:rPr>
          <w:rFonts w:ascii="Calibri" w:hAnsi="Calibri" w:cs="Calibri"/>
          <w:color w:val="000000" w:themeColor="text1"/>
          <w:sz w:val="22"/>
          <w:szCs w:val="22"/>
          <w:lang w:val="en-GB"/>
        </w:rPr>
      </w:pPr>
      <w:r w:rsidRPr="00CF0E0C">
        <w:rPr>
          <w:rFonts w:ascii="Calibri" w:hAnsi="Calibri" w:cs="Calibri"/>
          <w:color w:val="000000" w:themeColor="text1"/>
          <w:sz w:val="22"/>
          <w:szCs w:val="22"/>
          <w:lang w:val="pt-PT"/>
        </w:rPr>
        <w:t>(4)</w:t>
      </w:r>
      <w:r w:rsidRPr="00CF0E0C">
        <w:rPr>
          <w:rFonts w:ascii="Calibri" w:hAnsi="Calibri" w:cs="Calibri"/>
          <w:color w:val="000000" w:themeColor="text1"/>
          <w:sz w:val="22"/>
          <w:szCs w:val="22"/>
          <w:lang w:val="pt-PT"/>
        </w:rPr>
        <w:tab/>
        <w:t xml:space="preserve">Nunes Lemes, L. F.; Magoulas, G. E.; Souza de Oliveira, A.; Barrias, E.; de Camargo Nascente, L.; Granado, R.; Teixeira de Macedo Silva, S.; Assimomytis, N.; de Souza, W.; Bolognesi, M. L.; Romeiro, L. A. S.; Calogeropoulou, T. Valorizing Constituents of Cashew Nut Shell Liquid toward the Sustainable Development of New Drugs against Chagas Disease. </w:t>
      </w:r>
      <w:r w:rsidRPr="00443D12">
        <w:rPr>
          <w:rFonts w:ascii="Calibri" w:hAnsi="Calibri" w:cs="Calibri"/>
          <w:i/>
          <w:iCs/>
          <w:color w:val="000000" w:themeColor="text1"/>
          <w:sz w:val="22"/>
          <w:szCs w:val="22"/>
          <w:lang w:val="en-GB"/>
        </w:rPr>
        <w:t>ACS Infect. Dis.</w:t>
      </w:r>
      <w:r w:rsidRPr="00443D12">
        <w:rPr>
          <w:rFonts w:ascii="Calibri" w:hAnsi="Calibri" w:cs="Calibri"/>
          <w:color w:val="000000" w:themeColor="text1"/>
          <w:sz w:val="22"/>
          <w:szCs w:val="22"/>
          <w:lang w:val="en-GB"/>
        </w:rPr>
        <w:t xml:space="preserve"> </w:t>
      </w:r>
      <w:r w:rsidRPr="00443D12">
        <w:rPr>
          <w:rFonts w:ascii="Calibri" w:hAnsi="Calibri" w:cs="Calibri"/>
          <w:b/>
          <w:bCs/>
          <w:color w:val="000000" w:themeColor="text1"/>
          <w:sz w:val="22"/>
          <w:szCs w:val="22"/>
          <w:lang w:val="en-GB"/>
        </w:rPr>
        <w:t>2023</w:t>
      </w:r>
      <w:r w:rsidRPr="00443D12">
        <w:rPr>
          <w:rFonts w:ascii="Calibri" w:hAnsi="Calibri" w:cs="Calibri"/>
          <w:color w:val="000000" w:themeColor="text1"/>
          <w:sz w:val="22"/>
          <w:szCs w:val="22"/>
          <w:lang w:val="en-GB"/>
        </w:rPr>
        <w:t xml:space="preserve">, </w:t>
      </w:r>
      <w:r w:rsidRPr="00443D12">
        <w:rPr>
          <w:rFonts w:ascii="Calibri" w:hAnsi="Calibri" w:cs="Calibri"/>
          <w:i/>
          <w:iCs/>
          <w:color w:val="000000" w:themeColor="text1"/>
          <w:sz w:val="22"/>
          <w:szCs w:val="22"/>
          <w:lang w:val="en-GB"/>
        </w:rPr>
        <w:t>9</w:t>
      </w:r>
      <w:r w:rsidRPr="00443D12">
        <w:rPr>
          <w:rFonts w:ascii="Calibri" w:hAnsi="Calibri" w:cs="Calibri"/>
          <w:color w:val="000000" w:themeColor="text1"/>
          <w:sz w:val="22"/>
          <w:szCs w:val="22"/>
          <w:lang w:val="en-GB"/>
        </w:rPr>
        <w:t xml:space="preserve"> (7), 1334–1345. https://doi.org/10.1021/acsinfecdis.3c00076.</w:t>
      </w:r>
    </w:p>
    <w:p w14:paraId="706ABB27" w14:textId="77777777" w:rsidR="00443D12" w:rsidRPr="00443D12" w:rsidRDefault="00443D12" w:rsidP="00443D12">
      <w:pPr>
        <w:spacing w:line="264" w:lineRule="auto"/>
        <w:jc w:val="both"/>
        <w:rPr>
          <w:rFonts w:ascii="Calibri" w:hAnsi="Calibri" w:cs="Calibri"/>
          <w:color w:val="000000" w:themeColor="text1"/>
          <w:sz w:val="22"/>
          <w:szCs w:val="22"/>
          <w:lang w:val="en-GB"/>
        </w:rPr>
      </w:pPr>
      <w:r w:rsidRPr="00443D12">
        <w:rPr>
          <w:rFonts w:ascii="Calibri" w:hAnsi="Calibri" w:cs="Calibri"/>
          <w:color w:val="000000" w:themeColor="text1"/>
          <w:sz w:val="22"/>
          <w:szCs w:val="22"/>
          <w:lang w:val="en-GB"/>
        </w:rPr>
        <w:t>(5)</w:t>
      </w:r>
      <w:r w:rsidRPr="00443D12">
        <w:rPr>
          <w:rFonts w:ascii="Calibri" w:hAnsi="Calibri" w:cs="Calibri"/>
          <w:color w:val="000000" w:themeColor="text1"/>
          <w:sz w:val="22"/>
          <w:szCs w:val="22"/>
          <w:lang w:val="en-GB"/>
        </w:rPr>
        <w:tab/>
        <w:t xml:space="preserve">Zielonka, J.; Joseph, J.; Sikora, A.; Hardy, M.; Ouari, O.; Vasquez-Vivar, J.; Cheng, G.; Lopez, M.; Kalyanaraman, B. Mitochondria-Targeted Triphenylphosphonium-Based Compounds: Syntheses, Mechanisms of Action, and Therapeutic and Diagnostic Applications. </w:t>
      </w:r>
      <w:r w:rsidRPr="00443D12">
        <w:rPr>
          <w:rFonts w:ascii="Calibri" w:hAnsi="Calibri" w:cs="Calibri"/>
          <w:i/>
          <w:iCs/>
          <w:color w:val="000000" w:themeColor="text1"/>
          <w:sz w:val="22"/>
          <w:szCs w:val="22"/>
          <w:lang w:val="en-GB"/>
        </w:rPr>
        <w:t>Chem. Rev.</w:t>
      </w:r>
      <w:r w:rsidRPr="00443D12">
        <w:rPr>
          <w:rFonts w:ascii="Calibri" w:hAnsi="Calibri" w:cs="Calibri"/>
          <w:color w:val="000000" w:themeColor="text1"/>
          <w:sz w:val="22"/>
          <w:szCs w:val="22"/>
          <w:lang w:val="en-GB"/>
        </w:rPr>
        <w:t xml:space="preserve"> </w:t>
      </w:r>
      <w:r w:rsidRPr="00443D12">
        <w:rPr>
          <w:rFonts w:ascii="Calibri" w:hAnsi="Calibri" w:cs="Calibri"/>
          <w:b/>
          <w:bCs/>
          <w:color w:val="000000" w:themeColor="text1"/>
          <w:sz w:val="22"/>
          <w:szCs w:val="22"/>
          <w:lang w:val="en-GB"/>
        </w:rPr>
        <w:t>2017</w:t>
      </w:r>
      <w:r w:rsidRPr="00443D12">
        <w:rPr>
          <w:rFonts w:ascii="Calibri" w:hAnsi="Calibri" w:cs="Calibri"/>
          <w:color w:val="000000" w:themeColor="text1"/>
          <w:sz w:val="22"/>
          <w:szCs w:val="22"/>
          <w:lang w:val="en-GB"/>
        </w:rPr>
        <w:t xml:space="preserve">, </w:t>
      </w:r>
      <w:r w:rsidRPr="00443D12">
        <w:rPr>
          <w:rFonts w:ascii="Calibri" w:hAnsi="Calibri" w:cs="Calibri"/>
          <w:i/>
          <w:iCs/>
          <w:color w:val="000000" w:themeColor="text1"/>
          <w:sz w:val="22"/>
          <w:szCs w:val="22"/>
          <w:lang w:val="en-GB"/>
        </w:rPr>
        <w:t>117</w:t>
      </w:r>
      <w:r w:rsidRPr="00443D12">
        <w:rPr>
          <w:rFonts w:ascii="Calibri" w:hAnsi="Calibri" w:cs="Calibri"/>
          <w:color w:val="000000" w:themeColor="text1"/>
          <w:sz w:val="22"/>
          <w:szCs w:val="22"/>
          <w:lang w:val="en-GB"/>
        </w:rPr>
        <w:t xml:space="preserve"> (15), 10043–10120. https://doi.org/10.1021/acs.chemrev.7b00042.</w:t>
      </w:r>
    </w:p>
    <w:p w14:paraId="21E088F0" w14:textId="499AC5CC" w:rsidR="000D0363" w:rsidRDefault="00443D12" w:rsidP="00443D12">
      <w:pPr>
        <w:spacing w:line="264" w:lineRule="auto"/>
        <w:jc w:val="both"/>
        <w:rPr>
          <w:rFonts w:ascii="Calibri" w:hAnsi="Calibri" w:cs="Calibri"/>
          <w:color w:val="000000" w:themeColor="text1"/>
          <w:sz w:val="22"/>
          <w:szCs w:val="22"/>
        </w:rPr>
      </w:pPr>
      <w:r w:rsidRPr="00443D12">
        <w:rPr>
          <w:rFonts w:ascii="Calibri" w:hAnsi="Calibri" w:cs="Calibri"/>
          <w:color w:val="000000" w:themeColor="text1"/>
          <w:sz w:val="22"/>
          <w:szCs w:val="22"/>
        </w:rPr>
        <w:fldChar w:fldCharType="end"/>
      </w:r>
    </w:p>
    <w:p w14:paraId="35CA5B91" w14:textId="77777777" w:rsidR="00443D12" w:rsidRDefault="00443D12" w:rsidP="00443D12">
      <w:pPr>
        <w:jc w:val="both"/>
        <w:rPr>
          <w:rFonts w:ascii="Calibri" w:hAnsi="Calibri" w:cs="Calibri"/>
          <w:b/>
          <w:bCs/>
          <w:spacing w:val="2"/>
          <w:sz w:val="22"/>
          <w:szCs w:val="22"/>
          <w:shd w:val="clear" w:color="auto" w:fill="FFFFFF"/>
        </w:rPr>
      </w:pPr>
      <w:r>
        <w:rPr>
          <w:rFonts w:ascii="Calibri" w:hAnsi="Calibri" w:cs="Calibri"/>
          <w:b/>
          <w:bCs/>
          <w:spacing w:val="2"/>
          <w:sz w:val="22"/>
          <w:szCs w:val="22"/>
          <w:shd w:val="clear" w:color="auto" w:fill="FFFFFF"/>
        </w:rPr>
        <w:t>Acknowledgment</w:t>
      </w:r>
    </w:p>
    <w:p w14:paraId="1D31ABDC" w14:textId="69DCD77E" w:rsidR="000D0363" w:rsidRDefault="00443D12" w:rsidP="00443D12">
      <w:pPr>
        <w:jc w:val="both"/>
        <w:rPr>
          <w:rFonts w:ascii="Calibri" w:hAnsi="Calibri" w:cs="Calibri"/>
          <w:color w:val="000000" w:themeColor="text1"/>
        </w:rPr>
      </w:pPr>
      <w:r w:rsidRPr="00443D12">
        <w:rPr>
          <w:rFonts w:ascii="Calibri" w:hAnsi="Calibri" w:cs="Calibri"/>
          <w:spacing w:val="2"/>
          <w:sz w:val="22"/>
          <w:szCs w:val="22"/>
          <w:shd w:val="clear" w:color="auto" w:fill="FFFFFF"/>
        </w:rPr>
        <w:t xml:space="preserve">This research was supported by the COST Action “OneHealthdrugs” CA21111, by Programma Operativo Nazionale “Ricerca e Innovazione” 2014–2020 (PON “R&amp;I” 2014–2020) – </w:t>
      </w:r>
      <w:r w:rsidRPr="00443D12">
        <w:rPr>
          <w:rFonts w:ascii="Calibri" w:hAnsi="Calibri" w:cs="Calibri"/>
          <w:spacing w:val="2"/>
          <w:sz w:val="22"/>
          <w:szCs w:val="22"/>
          <w:shd w:val="clear" w:color="auto" w:fill="FFFFFF"/>
        </w:rPr>
        <w:lastRenderedPageBreak/>
        <w:t>“Sustainable production of nutraceuticals and bioactives from food waste: application to cashew nut shell liquid” (CUP J35F21003320006)</w:t>
      </w:r>
      <w:r>
        <w:rPr>
          <w:rFonts w:ascii="Calibri" w:hAnsi="Calibri" w:cs="Calibri"/>
          <w:spacing w:val="2"/>
          <w:sz w:val="22"/>
          <w:szCs w:val="22"/>
          <w:shd w:val="clear" w:color="auto" w:fill="FFFFFF"/>
        </w:rPr>
        <w:t>.</w:t>
      </w:r>
      <w:r w:rsidR="000D0363">
        <w:rPr>
          <w:rFonts w:ascii="Calibri" w:hAnsi="Calibri" w:cs="Calibri"/>
          <w:color w:val="000000" w:themeColor="text1"/>
        </w:rPr>
        <w:br w:type="page"/>
      </w:r>
    </w:p>
    <w:p w14:paraId="632A8204" w14:textId="3339E50D" w:rsidR="00BC6BCD" w:rsidRPr="00BC6BCD" w:rsidRDefault="00BC6BCD" w:rsidP="00BC6BCD">
      <w:pPr>
        <w:spacing w:line="264" w:lineRule="auto"/>
        <w:jc w:val="center"/>
        <w:rPr>
          <w:rFonts w:ascii="Calibri" w:hAnsi="Calibri" w:cs="Calibri"/>
          <w:b/>
          <w:bCs/>
          <w:color w:val="2E74B5" w:themeColor="accent5" w:themeShade="BF"/>
          <w:lang w:val="en-GB"/>
        </w:rPr>
      </w:pPr>
      <w:r w:rsidRPr="00BC6BCD">
        <w:rPr>
          <w:rFonts w:ascii="Calibri" w:hAnsi="Calibri" w:cs="Calibri"/>
          <w:b/>
          <w:bCs/>
          <w:color w:val="2E74B5" w:themeColor="accent5" w:themeShade="BF"/>
          <w:lang w:val="en-GB"/>
        </w:rPr>
        <w:lastRenderedPageBreak/>
        <w:t>PARTICIPATORY AND MOLECULAR SURVEILLANCE OF TICK-</w:t>
      </w:r>
    </w:p>
    <w:p w14:paraId="181FB8D9" w14:textId="70CAB588" w:rsidR="000D0363" w:rsidRDefault="00BC6BCD" w:rsidP="00BC6BCD">
      <w:pPr>
        <w:spacing w:line="264" w:lineRule="auto"/>
        <w:jc w:val="center"/>
        <w:rPr>
          <w:rFonts w:ascii="Calibri" w:hAnsi="Calibri" w:cs="Calibri"/>
          <w:b/>
          <w:bCs/>
          <w:color w:val="2E74B5" w:themeColor="accent5" w:themeShade="BF"/>
          <w:lang w:val="en-GB"/>
        </w:rPr>
      </w:pPr>
      <w:r w:rsidRPr="00BC6BCD">
        <w:rPr>
          <w:rFonts w:ascii="Calibri" w:hAnsi="Calibri" w:cs="Calibri"/>
          <w:b/>
          <w:bCs/>
          <w:color w:val="2E74B5" w:themeColor="accent5" w:themeShade="BF"/>
          <w:lang w:val="en-GB"/>
        </w:rPr>
        <w:t>BORNE THEILERIOSIS, AND ANAPLASMOSIS IN DISTRICT BAHAWALPUR, PUNJAB, PAKISTAN</w:t>
      </w:r>
    </w:p>
    <w:p w14:paraId="2196DA1F" w14:textId="77777777" w:rsidR="000D0363" w:rsidRPr="000D0363" w:rsidRDefault="000D0363" w:rsidP="000D0363">
      <w:pPr>
        <w:spacing w:line="264" w:lineRule="auto"/>
        <w:jc w:val="center"/>
        <w:rPr>
          <w:rFonts w:ascii="Calibri" w:hAnsi="Calibri" w:cs="Calibri"/>
          <w:b/>
          <w:bCs/>
          <w:color w:val="2E74B5" w:themeColor="accent5" w:themeShade="BF"/>
          <w:lang w:val="en-GB"/>
        </w:rPr>
      </w:pPr>
    </w:p>
    <w:p w14:paraId="30879B55" w14:textId="5BC7F603" w:rsidR="00F40165" w:rsidRPr="00F40165" w:rsidRDefault="00F40165" w:rsidP="00F40165">
      <w:pPr>
        <w:jc w:val="center"/>
        <w:rPr>
          <w:rFonts w:asciiTheme="minorHAnsi" w:hAnsiTheme="minorHAnsi" w:cstheme="minorHAnsi"/>
        </w:rPr>
      </w:pPr>
      <w:r w:rsidRPr="00F40165">
        <w:rPr>
          <w:rFonts w:asciiTheme="minorHAnsi" w:hAnsiTheme="minorHAnsi" w:cstheme="minorHAnsi"/>
          <w:u w:val="single"/>
        </w:rPr>
        <w:t>Tahira Iftakhar</w:t>
      </w:r>
      <w:r w:rsidRPr="00F40165">
        <w:rPr>
          <w:rFonts w:asciiTheme="minorHAnsi" w:hAnsiTheme="minorHAnsi" w:cstheme="minorHAnsi"/>
          <w:u w:val="single"/>
          <w:vertAlign w:val="superscript"/>
        </w:rPr>
        <w:t>a</w:t>
      </w:r>
      <w:r w:rsidRPr="00F40165">
        <w:rPr>
          <w:rFonts w:asciiTheme="minorHAnsi" w:hAnsiTheme="minorHAnsi" w:cstheme="minorHAnsi"/>
        </w:rPr>
        <w:t>, Muhammad Sohail Sajid</w:t>
      </w:r>
      <w:r w:rsidRPr="00F40165">
        <w:rPr>
          <w:rFonts w:asciiTheme="minorHAnsi" w:hAnsiTheme="minorHAnsi" w:cstheme="minorHAnsi"/>
          <w:vertAlign w:val="superscript"/>
        </w:rPr>
        <w:t>a</w:t>
      </w:r>
      <w:r w:rsidRPr="00F40165">
        <w:rPr>
          <w:rFonts w:asciiTheme="minorHAnsi" w:hAnsiTheme="minorHAnsi" w:cstheme="minorHAnsi"/>
        </w:rPr>
        <w:t>, Hafiz Muhammad Rizwan</w:t>
      </w:r>
      <w:r w:rsidRPr="00F40165">
        <w:rPr>
          <w:rFonts w:asciiTheme="minorHAnsi" w:hAnsiTheme="minorHAnsi" w:cstheme="minorHAnsi"/>
          <w:vertAlign w:val="superscript"/>
        </w:rPr>
        <w:t>b</w:t>
      </w:r>
      <w:r w:rsidRPr="00F40165">
        <w:rPr>
          <w:rFonts w:asciiTheme="minorHAnsi" w:hAnsiTheme="minorHAnsi" w:cstheme="minorHAnsi"/>
        </w:rPr>
        <w:t>, Muhammad Kashif Hussain</w:t>
      </w:r>
      <w:r w:rsidRPr="00F40165">
        <w:rPr>
          <w:rFonts w:asciiTheme="minorHAnsi" w:hAnsiTheme="minorHAnsi" w:cstheme="minorHAnsi"/>
          <w:vertAlign w:val="superscript"/>
        </w:rPr>
        <w:t>a</w:t>
      </w:r>
    </w:p>
    <w:p w14:paraId="343D3EDB" w14:textId="77777777" w:rsidR="00BC6BCD" w:rsidRPr="00E45C3D" w:rsidRDefault="00BC6BCD" w:rsidP="00BC6BCD">
      <w:pPr>
        <w:spacing w:line="264" w:lineRule="auto"/>
        <w:jc w:val="center"/>
        <w:rPr>
          <w:rFonts w:ascii="Calibri" w:hAnsi="Calibri" w:cs="Calibri"/>
          <w:bCs/>
          <w:color w:val="000000" w:themeColor="text1"/>
          <w:sz w:val="22"/>
          <w:szCs w:val="22"/>
        </w:rPr>
      </w:pPr>
      <w:r w:rsidRPr="00E45C3D">
        <w:rPr>
          <w:rFonts w:ascii="Calibri" w:hAnsi="Calibri" w:cs="Calibri"/>
          <w:bCs/>
          <w:color w:val="000000" w:themeColor="text1"/>
          <w:sz w:val="22"/>
          <w:szCs w:val="22"/>
          <w:vertAlign w:val="superscript"/>
        </w:rPr>
        <w:t>a</w:t>
      </w:r>
      <w:r w:rsidRPr="00E45C3D">
        <w:rPr>
          <w:rFonts w:ascii="Calibri" w:hAnsi="Calibri" w:cs="Calibri"/>
          <w:bCs/>
          <w:color w:val="000000" w:themeColor="text1"/>
          <w:sz w:val="22"/>
          <w:szCs w:val="22"/>
        </w:rPr>
        <w:t xml:space="preserve"> University of Agriculture Faisalabad, Punjab, Pakistan , KBCMA College of Veterinary and Animal Sciences (CVAS) Narrowal, Punjab, Pakistan</w:t>
      </w:r>
    </w:p>
    <w:p w14:paraId="2CA116A6" w14:textId="1EE279D2" w:rsidR="00BC6BCD" w:rsidRPr="00E45C3D" w:rsidRDefault="00000000" w:rsidP="00BC6BCD">
      <w:pPr>
        <w:spacing w:line="264" w:lineRule="auto"/>
        <w:jc w:val="center"/>
        <w:rPr>
          <w:rFonts w:ascii="Calibri" w:hAnsi="Calibri" w:cs="Calibri"/>
          <w:bCs/>
          <w:color w:val="000000" w:themeColor="text1"/>
          <w:sz w:val="22"/>
          <w:szCs w:val="22"/>
        </w:rPr>
      </w:pPr>
      <w:hyperlink r:id="rId19">
        <w:r w:rsidR="00BC6BCD" w:rsidRPr="00E45C3D">
          <w:rPr>
            <w:rStyle w:val="Hyperlink"/>
            <w:rFonts w:ascii="Calibri" w:hAnsi="Calibri" w:cs="Calibri"/>
            <w:bCs/>
            <w:sz w:val="22"/>
            <w:szCs w:val="22"/>
          </w:rPr>
          <w:t>Tahiraiftakhar1234@gmail.com</w:t>
        </w:r>
      </w:hyperlink>
    </w:p>
    <w:p w14:paraId="4A43A024" w14:textId="3AEEB5E6" w:rsidR="000D0363" w:rsidRPr="00E45C3D" w:rsidRDefault="000D0363" w:rsidP="000D0363">
      <w:pPr>
        <w:spacing w:line="264" w:lineRule="auto"/>
        <w:jc w:val="center"/>
        <w:rPr>
          <w:rFonts w:ascii="Calibri" w:hAnsi="Calibri" w:cs="Calibri"/>
          <w:b/>
          <w:i/>
          <w:iCs/>
          <w:color w:val="000000" w:themeColor="text1"/>
          <w:sz w:val="22"/>
          <w:szCs w:val="22"/>
          <w:lang w:val="en-GB"/>
        </w:rPr>
      </w:pPr>
    </w:p>
    <w:p w14:paraId="7292F0AE" w14:textId="33754230" w:rsidR="00BC6BCD" w:rsidRPr="00E45C3D" w:rsidRDefault="00BC6BCD" w:rsidP="00BC6BCD">
      <w:pPr>
        <w:jc w:val="both"/>
        <w:rPr>
          <w:rFonts w:ascii="Calibri" w:hAnsi="Calibri" w:cs="Calibri"/>
          <w:color w:val="000000" w:themeColor="text1"/>
        </w:rPr>
      </w:pPr>
      <w:r w:rsidRPr="00E45C3D">
        <w:rPr>
          <w:rFonts w:ascii="Calibri" w:hAnsi="Calibri" w:cs="Calibri"/>
          <w:color w:val="000000" w:themeColor="text1"/>
        </w:rPr>
        <w:t>Ticks (Acari: Ixodidae) are vicious –blood-sucking ectoparasites of livestock extensively found around the globe and cause significant economic losses. They vector a higher range of important pathogenic agents including Theileria spp. and Anaplasma spp. The aim of present study is to specify the molecular epidemiology and its associated risk factors of two well-distributed tick- borne protozoa and bacteria Theileria spp. and Anaplasma spp. in cattle population from Bahawalpur, Punjab, Pakistan. Blood and ticks samples were collected from local breed cattle,crossbreed, cholistani and from exotic breed with total of 384 blood samples and four species of ticks. Genus-specific PCR assays were performed to detect the presence of Anaplasma spp. And Theileria spp. based on 16S rRNA and MPSP makers. PCR results showed that Anaplasma was 17% prevalent and Theileria was 25.9 % prevalent in the study area with comorbidities prevalence rate was 25% in the tested blood samples. Univarable analysis of risk factors showed that only breed and acaricidal treatment were significant determinants (P &amp;lt; 0.05) for these comorbidities, however, in case of Theileria spp. and Anaplasma spp. ,breed, age, gender,grazing practice, season, presence of poultry on farm and acaricidal treatment were potential determinants (P &amp;lt; 0.05). Multivariable analysis specified that breed and acaricidal treatment were considered as significant risk factors for these infections (P &amp;lt; 0.05) whereas acaricidal treatment was found to be a significant determinant for comorbidities (P &amp;lt; 0.05). Phylogenetic analysis indicated that Anaplasma spp. and Theileria spp. isolates showed similarities and shared phylogeny with same isolates reported from Asia, China, Europe and Japan. This is the first molecular report on the epidemiology and risk factors analysis of Anaplasma spp. and Theileria spp. infections in cattle population from Bahawalpur, Pakistan. Further large-scale study is required to investigate molecular, epidemiological and genotypic aspects as well as potential risk</w:t>
      </w:r>
      <w:r w:rsidRPr="00E45C3D">
        <w:rPr>
          <w:rFonts w:ascii="Calibri" w:eastAsia="Calibri" w:hAnsi="Calibri" w:cs="Calibri"/>
          <w:sz w:val="22"/>
          <w:szCs w:val="22"/>
        </w:rPr>
        <w:t xml:space="preserve"> </w:t>
      </w:r>
      <w:r w:rsidRPr="00E45C3D">
        <w:rPr>
          <w:rFonts w:ascii="Calibri" w:hAnsi="Calibri" w:cs="Calibri"/>
          <w:color w:val="000000" w:themeColor="text1"/>
        </w:rPr>
        <w:t>factors analysis from the country to facilitate designing strategies to control tick-borne pathogen and reduce losses to cattle industry.</w:t>
      </w:r>
    </w:p>
    <w:p w14:paraId="0A282885" w14:textId="77777777" w:rsidR="00BC6BCD" w:rsidRPr="00BC6BCD" w:rsidRDefault="00BC6BCD" w:rsidP="00BC6BCD">
      <w:pPr>
        <w:jc w:val="both"/>
        <w:rPr>
          <w:rFonts w:ascii="Calibri" w:hAnsi="Calibri" w:cs="Calibri"/>
          <w:color w:val="000000" w:themeColor="text1"/>
          <w:sz w:val="22"/>
          <w:szCs w:val="22"/>
        </w:rPr>
      </w:pPr>
      <w:r w:rsidRPr="00E45C3D">
        <w:rPr>
          <w:rFonts w:ascii="Calibri" w:hAnsi="Calibri" w:cs="Calibri"/>
          <w:color w:val="000000" w:themeColor="text1"/>
        </w:rPr>
        <w:lastRenderedPageBreak/>
        <w:t>Key Words: PCR (Polymerase Chain Reaction), Comorbidities, Phylogenetic, Epidemiology</w:t>
      </w:r>
    </w:p>
    <w:p w14:paraId="5B4BDC1E" w14:textId="77777777" w:rsidR="00BC6BCD" w:rsidRDefault="00BC6BCD" w:rsidP="00BC6BCD">
      <w:pPr>
        <w:jc w:val="both"/>
        <w:rPr>
          <w:rFonts w:ascii="Calibri" w:hAnsi="Calibri" w:cs="Calibri"/>
          <w:b/>
          <w:bCs/>
          <w:color w:val="000000" w:themeColor="text1"/>
          <w:sz w:val="22"/>
          <w:szCs w:val="22"/>
        </w:rPr>
      </w:pPr>
    </w:p>
    <w:p w14:paraId="428E3E5A" w14:textId="5F40FD8C" w:rsidR="00BC6BCD" w:rsidRPr="00BC6BCD" w:rsidRDefault="00BC6BCD" w:rsidP="00BC6BCD">
      <w:pPr>
        <w:jc w:val="both"/>
        <w:rPr>
          <w:rFonts w:ascii="Calibri" w:hAnsi="Calibri" w:cs="Calibri"/>
          <w:b/>
          <w:bCs/>
          <w:color w:val="000000" w:themeColor="text1"/>
          <w:sz w:val="22"/>
          <w:szCs w:val="22"/>
        </w:rPr>
      </w:pPr>
      <w:r w:rsidRPr="00BC6BCD">
        <w:rPr>
          <w:rFonts w:ascii="Calibri" w:hAnsi="Calibri" w:cs="Calibri"/>
          <w:b/>
          <w:bCs/>
          <w:color w:val="000000" w:themeColor="text1"/>
          <w:sz w:val="22"/>
          <w:szCs w:val="22"/>
        </w:rPr>
        <w:t>References</w:t>
      </w:r>
    </w:p>
    <w:p w14:paraId="65FAE3E0" w14:textId="77777777" w:rsidR="00BC6BCD" w:rsidRPr="00BC6BCD" w:rsidRDefault="00BC6BCD" w:rsidP="00BC6BCD">
      <w:pPr>
        <w:numPr>
          <w:ilvl w:val="0"/>
          <w:numId w:val="4"/>
        </w:numPr>
        <w:jc w:val="both"/>
        <w:rPr>
          <w:rFonts w:ascii="Calibri" w:hAnsi="Calibri" w:cs="Calibri"/>
          <w:color w:val="000000" w:themeColor="text1"/>
          <w:sz w:val="22"/>
          <w:szCs w:val="22"/>
        </w:rPr>
      </w:pPr>
      <w:r w:rsidRPr="00BC6BCD">
        <w:rPr>
          <w:rFonts w:ascii="Calibri" w:hAnsi="Calibri" w:cs="Calibri"/>
          <w:color w:val="000000" w:themeColor="text1"/>
          <w:sz w:val="22"/>
          <w:szCs w:val="22"/>
        </w:rPr>
        <w:t>Rajput, M., M.S. Sajid, M. Imran, M.T. Javed and O.A. Sparagano. 2023. A participatory approach in assessing the knowledge, attitude, and practices (kap) of stakeholders and livestock owners about ticks and tick-borne diseases from Sindh, Pakistan. Pathogens. 12:800.</w:t>
      </w:r>
    </w:p>
    <w:p w14:paraId="6504F8C4" w14:textId="77777777" w:rsidR="00BC6BCD" w:rsidRPr="00BC6BCD" w:rsidRDefault="00BC6BCD" w:rsidP="00BC6BCD">
      <w:pPr>
        <w:numPr>
          <w:ilvl w:val="0"/>
          <w:numId w:val="4"/>
        </w:numPr>
        <w:jc w:val="both"/>
        <w:rPr>
          <w:rFonts w:ascii="Calibri" w:hAnsi="Calibri" w:cs="Calibri"/>
          <w:color w:val="000000" w:themeColor="text1"/>
          <w:sz w:val="22"/>
          <w:szCs w:val="22"/>
        </w:rPr>
      </w:pPr>
      <w:r w:rsidRPr="00BC6BCD">
        <w:rPr>
          <w:rFonts w:ascii="Calibri" w:hAnsi="Calibri" w:cs="Calibri"/>
          <w:color w:val="000000" w:themeColor="text1"/>
          <w:sz w:val="22"/>
          <w:szCs w:val="22"/>
        </w:rPr>
        <w:t>Rochlin, I., A. Egizi, Z. Narvaez, D. L. Bonilla, M. Gallagher, G. M. Williams, and D. M. Fonseca. 2023. Microhabitat modeling of the invasive Asian longhorned tick (Haemaphysalis longicornis) in New Jersey, USA. Ticks Tick Borne Dis. 102126.</w:t>
      </w:r>
    </w:p>
    <w:p w14:paraId="0AC862BB" w14:textId="77777777" w:rsidR="00BC6BCD" w:rsidRPr="00BC6BCD" w:rsidRDefault="00BC6BCD" w:rsidP="00BC6BCD">
      <w:pPr>
        <w:numPr>
          <w:ilvl w:val="0"/>
          <w:numId w:val="4"/>
        </w:numPr>
        <w:jc w:val="both"/>
        <w:rPr>
          <w:rFonts w:ascii="Calibri" w:hAnsi="Calibri" w:cs="Calibri"/>
          <w:color w:val="000000" w:themeColor="text1"/>
          <w:sz w:val="22"/>
          <w:szCs w:val="22"/>
        </w:rPr>
      </w:pPr>
      <w:r w:rsidRPr="00CF0E0C">
        <w:rPr>
          <w:rFonts w:ascii="Calibri" w:hAnsi="Calibri" w:cs="Calibri"/>
          <w:color w:val="000000" w:themeColor="text1"/>
          <w:sz w:val="22"/>
          <w:szCs w:val="22"/>
          <w:lang w:val="pt-PT"/>
        </w:rPr>
        <w:t xml:space="preserve">Rodrigues, A. C., M. B. de Castro, M. B. Labruna and M. P. J. Szabó. </w:t>
      </w:r>
      <w:r w:rsidRPr="00BC6BCD">
        <w:rPr>
          <w:rFonts w:ascii="Calibri" w:hAnsi="Calibri" w:cs="Calibri"/>
          <w:color w:val="000000" w:themeColor="text1"/>
          <w:sz w:val="22"/>
          <w:szCs w:val="22"/>
        </w:rPr>
        <w:t>2023. The inoculation eschar of Rickettsia parkeri rickettsiosis in Brazil: importance and cautions. Ticks Tick</w:t>
      </w:r>
    </w:p>
    <w:p w14:paraId="44804626" w14:textId="77777777" w:rsidR="00BC6BCD" w:rsidRPr="00BC6BCD" w:rsidRDefault="00BC6BCD" w:rsidP="00BC6BCD">
      <w:pPr>
        <w:jc w:val="both"/>
        <w:rPr>
          <w:rFonts w:ascii="Calibri" w:hAnsi="Calibri" w:cs="Calibri"/>
          <w:color w:val="000000" w:themeColor="text1"/>
          <w:sz w:val="22"/>
          <w:szCs w:val="22"/>
        </w:rPr>
      </w:pPr>
      <w:r w:rsidRPr="00BC6BCD">
        <w:rPr>
          <w:rFonts w:ascii="Calibri" w:hAnsi="Calibri" w:cs="Calibri"/>
          <w:color w:val="000000" w:themeColor="text1"/>
          <w:sz w:val="22"/>
          <w:szCs w:val="22"/>
        </w:rPr>
        <w:t>Borne Dis. 102127.</w:t>
      </w:r>
    </w:p>
    <w:p w14:paraId="080FEBB6" w14:textId="77777777" w:rsidR="00BC6BCD" w:rsidRPr="00BC6BCD" w:rsidRDefault="00BC6BCD" w:rsidP="00BC6BCD">
      <w:pPr>
        <w:jc w:val="both"/>
        <w:rPr>
          <w:rFonts w:ascii="Calibri" w:hAnsi="Calibri" w:cs="Calibri"/>
          <w:color w:val="000000" w:themeColor="text1"/>
          <w:sz w:val="22"/>
          <w:szCs w:val="22"/>
        </w:rPr>
      </w:pPr>
    </w:p>
    <w:p w14:paraId="65D258AA" w14:textId="77777777" w:rsidR="00BC6BCD" w:rsidRPr="00BC6BCD" w:rsidRDefault="00BC6BCD" w:rsidP="00BC6BCD">
      <w:pPr>
        <w:jc w:val="both"/>
        <w:rPr>
          <w:rFonts w:ascii="Calibri" w:hAnsi="Calibri" w:cs="Calibri"/>
          <w:b/>
          <w:bCs/>
          <w:color w:val="000000" w:themeColor="text1"/>
          <w:sz w:val="22"/>
          <w:szCs w:val="22"/>
        </w:rPr>
      </w:pPr>
      <w:r w:rsidRPr="00BC6BCD">
        <w:rPr>
          <w:rFonts w:ascii="Calibri" w:hAnsi="Calibri" w:cs="Calibri"/>
          <w:b/>
          <w:bCs/>
          <w:color w:val="000000" w:themeColor="text1"/>
          <w:sz w:val="22"/>
          <w:szCs w:val="22"/>
        </w:rPr>
        <w:t>Acknowledgment</w:t>
      </w:r>
    </w:p>
    <w:p w14:paraId="51A070C3" w14:textId="77777777" w:rsidR="00BC6BCD" w:rsidRPr="00BC6BCD" w:rsidRDefault="00BC6BCD" w:rsidP="00BC6BCD">
      <w:pPr>
        <w:jc w:val="both"/>
        <w:rPr>
          <w:rFonts w:ascii="Calibri" w:hAnsi="Calibri" w:cs="Calibri"/>
          <w:color w:val="000000" w:themeColor="text1"/>
          <w:sz w:val="22"/>
          <w:szCs w:val="22"/>
        </w:rPr>
      </w:pPr>
      <w:r w:rsidRPr="00BC6BCD">
        <w:rPr>
          <w:rFonts w:ascii="Calibri" w:hAnsi="Calibri" w:cs="Calibri"/>
          <w:color w:val="000000" w:themeColor="text1"/>
          <w:sz w:val="22"/>
          <w:szCs w:val="22"/>
        </w:rPr>
        <w:t>This research was funded by NHCG/2141 and 9041/Punjab/NRPU/R&amp;D/HEC/2017 projects under the titles of” Geospatial Distribution of Arthropods and Arthropod Borne Diseases of One Health Significance: Participatory Risk Assessment and Mitigation Strategies in Punjab,Pakistan” and : Molecular epidemiology concurrent detection and characterization of Babesia, Theileria, Anaplasma and Ehrlichia species from cattle, buffalo</w:t>
      </w:r>
    </w:p>
    <w:p w14:paraId="1312BE1C" w14:textId="77777777" w:rsidR="00BC6BCD" w:rsidRPr="00BC6BCD" w:rsidRDefault="00BC6BCD" w:rsidP="00BC6BCD">
      <w:pPr>
        <w:jc w:val="both"/>
        <w:rPr>
          <w:rFonts w:ascii="Calibri" w:hAnsi="Calibri" w:cs="Calibri"/>
          <w:color w:val="000000" w:themeColor="text1"/>
          <w:sz w:val="22"/>
          <w:szCs w:val="22"/>
        </w:rPr>
      </w:pPr>
      <w:r w:rsidRPr="00BC6BCD">
        <w:rPr>
          <w:rFonts w:ascii="Calibri" w:hAnsi="Calibri" w:cs="Calibri"/>
          <w:color w:val="000000" w:themeColor="text1"/>
          <w:sz w:val="22"/>
          <w:szCs w:val="22"/>
        </w:rPr>
        <w:t>and Ixodid ticks”</w:t>
      </w:r>
    </w:p>
    <w:p w14:paraId="5ED37515" w14:textId="511406C5" w:rsidR="00BC6BCD" w:rsidRPr="00BC6BCD" w:rsidRDefault="00BC6BCD" w:rsidP="00BC6BCD">
      <w:pPr>
        <w:spacing w:line="264" w:lineRule="auto"/>
        <w:jc w:val="both"/>
        <w:rPr>
          <w:rFonts w:ascii="Calibri" w:hAnsi="Calibri" w:cs="Calibri"/>
          <w:color w:val="000000" w:themeColor="text1"/>
        </w:rPr>
      </w:pPr>
    </w:p>
    <w:p w14:paraId="067F8F69" w14:textId="3AD47429" w:rsidR="004613D5" w:rsidRDefault="000D0363" w:rsidP="000D0363">
      <w:pPr>
        <w:spacing w:line="264" w:lineRule="auto"/>
        <w:jc w:val="both"/>
        <w:rPr>
          <w:rFonts w:ascii="Calibri" w:hAnsi="Calibri" w:cs="Calibri"/>
          <w:color w:val="000000" w:themeColor="text1"/>
        </w:rPr>
      </w:pPr>
      <w:r w:rsidRPr="00DD272D">
        <w:rPr>
          <w:rFonts w:ascii="Calibri" w:hAnsi="Calibri" w:cs="Calibri"/>
          <w:color w:val="000000" w:themeColor="text1"/>
        </w:rPr>
        <w:t xml:space="preserve"> </w:t>
      </w:r>
    </w:p>
    <w:p w14:paraId="037923B6" w14:textId="77777777" w:rsidR="004613D5" w:rsidRDefault="004613D5">
      <w:pPr>
        <w:rPr>
          <w:rFonts w:ascii="Calibri" w:hAnsi="Calibri" w:cs="Calibri"/>
          <w:color w:val="000000" w:themeColor="text1"/>
        </w:rPr>
      </w:pPr>
      <w:r>
        <w:rPr>
          <w:rFonts w:ascii="Calibri" w:hAnsi="Calibri" w:cs="Calibri"/>
          <w:color w:val="000000" w:themeColor="text1"/>
        </w:rPr>
        <w:br w:type="page"/>
      </w:r>
    </w:p>
    <w:p w14:paraId="37C77657" w14:textId="77777777" w:rsidR="004613D5" w:rsidRDefault="004613D5" w:rsidP="004613D5">
      <w:pPr>
        <w:spacing w:line="264" w:lineRule="auto"/>
        <w:jc w:val="both"/>
        <w:rPr>
          <w:rFonts w:ascii="Calibri" w:hAnsi="Calibri" w:cs="Calibri"/>
          <w:b/>
          <w:color w:val="000000" w:themeColor="text1"/>
          <w:highlight w:val="yellow"/>
          <w:lang w:val="en-GB"/>
        </w:rPr>
      </w:pPr>
    </w:p>
    <w:p w14:paraId="4F5E7E4D" w14:textId="5F4D02D2" w:rsidR="004613D5" w:rsidRPr="00B82C29" w:rsidRDefault="00B82C29" w:rsidP="004613D5">
      <w:pPr>
        <w:spacing w:line="264" w:lineRule="auto"/>
        <w:jc w:val="center"/>
        <w:rPr>
          <w:rFonts w:ascii="Calibri" w:hAnsi="Calibri" w:cs="Calibri"/>
          <w:b/>
          <w:bCs/>
          <w:color w:val="2E74B5" w:themeColor="accent5" w:themeShade="BF"/>
        </w:rPr>
      </w:pPr>
      <w:r w:rsidRPr="00B82C29">
        <w:rPr>
          <w:rFonts w:ascii="Calibri" w:hAnsi="Calibri" w:cs="Calibri"/>
          <w:b/>
          <w:bCs/>
          <w:color w:val="2E74B5" w:themeColor="accent5" w:themeShade="BF"/>
          <w:lang w:val="en-GB"/>
        </w:rPr>
        <w:t>ASP3a/b - the promising druggable plasmepsin IX/X analogues from Babesia parasites</w:t>
      </w:r>
    </w:p>
    <w:p w14:paraId="45EC3C18" w14:textId="77777777" w:rsidR="00B82C29" w:rsidRDefault="00B82C29" w:rsidP="00B82C29">
      <w:pPr>
        <w:spacing w:line="276" w:lineRule="auto"/>
        <w:ind w:firstLine="709"/>
        <w:jc w:val="center"/>
        <w:rPr>
          <w:rFonts w:ascii="Arial" w:hAnsi="Arial" w:cs="Arial"/>
          <w:b/>
          <w:bCs/>
          <w:sz w:val="20"/>
          <w:szCs w:val="20"/>
        </w:rPr>
      </w:pPr>
    </w:p>
    <w:p w14:paraId="12CA3E56" w14:textId="77777777" w:rsidR="00B82C29" w:rsidRPr="00B82C29" w:rsidRDefault="00B82C29" w:rsidP="00B82C29">
      <w:pPr>
        <w:spacing w:line="276" w:lineRule="auto"/>
        <w:ind w:firstLine="709"/>
        <w:jc w:val="center"/>
        <w:rPr>
          <w:rFonts w:asciiTheme="minorHAnsi" w:hAnsiTheme="minorHAnsi" w:cstheme="minorHAnsi"/>
        </w:rPr>
      </w:pPr>
      <w:r w:rsidRPr="00B82C29">
        <w:rPr>
          <w:rFonts w:asciiTheme="minorHAnsi" w:hAnsiTheme="minorHAnsi" w:cstheme="minorHAnsi"/>
        </w:rPr>
        <w:t>Pavla Šnebergerová</w:t>
      </w:r>
      <w:r w:rsidRPr="00B82C29">
        <w:rPr>
          <w:rFonts w:asciiTheme="minorHAnsi" w:hAnsiTheme="minorHAnsi" w:cstheme="minorHAnsi"/>
          <w:vertAlign w:val="superscript"/>
        </w:rPr>
        <w:t>1,2</w:t>
      </w:r>
      <w:r w:rsidRPr="00B82C29">
        <w:rPr>
          <w:rFonts w:asciiTheme="minorHAnsi" w:hAnsiTheme="minorHAnsi" w:cstheme="minorHAnsi"/>
        </w:rPr>
        <w:t>, Gaelle Lentini</w:t>
      </w:r>
      <w:r w:rsidRPr="00B82C29">
        <w:rPr>
          <w:rFonts w:asciiTheme="minorHAnsi" w:hAnsiTheme="minorHAnsi" w:cstheme="minorHAnsi"/>
          <w:vertAlign w:val="superscript"/>
        </w:rPr>
        <w:t>3</w:t>
      </w:r>
      <w:r w:rsidRPr="00B82C29">
        <w:rPr>
          <w:rFonts w:asciiTheme="minorHAnsi" w:hAnsiTheme="minorHAnsi" w:cstheme="minorHAnsi"/>
        </w:rPr>
        <w:t>, Oscar Vadas</w:t>
      </w:r>
      <w:r w:rsidRPr="00B82C29">
        <w:rPr>
          <w:rFonts w:asciiTheme="minorHAnsi" w:hAnsiTheme="minorHAnsi" w:cstheme="minorHAnsi"/>
          <w:vertAlign w:val="superscript"/>
        </w:rPr>
        <w:t>3</w:t>
      </w:r>
      <w:r w:rsidRPr="00B82C29">
        <w:rPr>
          <w:rFonts w:asciiTheme="minorHAnsi" w:hAnsiTheme="minorHAnsi" w:cstheme="minorHAnsi"/>
        </w:rPr>
        <w:t>, Rémy Visentin</w:t>
      </w:r>
      <w:r w:rsidRPr="00B82C29">
        <w:rPr>
          <w:rFonts w:asciiTheme="minorHAnsi" w:hAnsiTheme="minorHAnsi" w:cstheme="minorHAnsi"/>
          <w:vertAlign w:val="superscript"/>
        </w:rPr>
        <w:t>3</w:t>
      </w:r>
      <w:r w:rsidRPr="00B82C29">
        <w:rPr>
          <w:rFonts w:asciiTheme="minorHAnsi" w:hAnsiTheme="minorHAnsi" w:cstheme="minorHAnsi"/>
        </w:rPr>
        <w:t>, Luise Robbertse</w:t>
      </w:r>
      <w:r w:rsidRPr="00B82C29">
        <w:rPr>
          <w:rFonts w:asciiTheme="minorHAnsi" w:hAnsiTheme="minorHAnsi" w:cstheme="minorHAnsi"/>
          <w:vertAlign w:val="superscript"/>
        </w:rPr>
        <w:t>1</w:t>
      </w:r>
      <w:r w:rsidRPr="00B82C29">
        <w:rPr>
          <w:rFonts w:asciiTheme="minorHAnsi" w:hAnsiTheme="minorHAnsi" w:cstheme="minorHAnsi"/>
        </w:rPr>
        <w:t>, Eliana F. G. Cubillos</w:t>
      </w:r>
      <w:r w:rsidRPr="00B82C29">
        <w:rPr>
          <w:rFonts w:asciiTheme="minorHAnsi" w:hAnsiTheme="minorHAnsi" w:cstheme="minorHAnsi"/>
          <w:vertAlign w:val="superscript"/>
        </w:rPr>
        <w:t>2</w:t>
      </w:r>
      <w:r w:rsidRPr="00B82C29">
        <w:rPr>
          <w:rFonts w:asciiTheme="minorHAnsi" w:hAnsiTheme="minorHAnsi" w:cstheme="minorHAnsi"/>
        </w:rPr>
        <w:t>, Alper Dede</w:t>
      </w:r>
      <w:r w:rsidRPr="00B82C29">
        <w:rPr>
          <w:rFonts w:asciiTheme="minorHAnsi" w:hAnsiTheme="minorHAnsi" w:cstheme="minorHAnsi"/>
          <w:vertAlign w:val="superscript"/>
        </w:rPr>
        <w:t>2</w:t>
      </w:r>
      <w:r w:rsidRPr="00B82C29">
        <w:rPr>
          <w:rFonts w:asciiTheme="minorHAnsi" w:hAnsiTheme="minorHAnsi" w:cstheme="minorHAnsi"/>
        </w:rPr>
        <w:t>, Viktoriya Levytska</w:t>
      </w:r>
      <w:r w:rsidRPr="00B82C29">
        <w:rPr>
          <w:rFonts w:asciiTheme="minorHAnsi" w:hAnsiTheme="minorHAnsi" w:cstheme="minorHAnsi"/>
          <w:vertAlign w:val="superscript"/>
        </w:rPr>
        <w:t>2</w:t>
      </w:r>
      <w:r w:rsidRPr="00B82C29">
        <w:rPr>
          <w:rFonts w:asciiTheme="minorHAnsi" w:hAnsiTheme="minorHAnsi" w:cstheme="minorHAnsi"/>
        </w:rPr>
        <w:t>, Marie Jalovecká</w:t>
      </w:r>
      <w:r w:rsidRPr="00B82C29">
        <w:rPr>
          <w:rFonts w:asciiTheme="minorHAnsi" w:hAnsiTheme="minorHAnsi" w:cstheme="minorHAnsi"/>
          <w:vertAlign w:val="superscript"/>
        </w:rPr>
        <w:t>2</w:t>
      </w:r>
      <w:r w:rsidRPr="00B82C29">
        <w:rPr>
          <w:rFonts w:asciiTheme="minorHAnsi" w:hAnsiTheme="minorHAnsi" w:cstheme="minorHAnsi"/>
        </w:rPr>
        <w:t>, Masahito Asada</w:t>
      </w:r>
      <w:r w:rsidRPr="00B82C29">
        <w:rPr>
          <w:rFonts w:asciiTheme="minorHAnsi" w:hAnsiTheme="minorHAnsi" w:cstheme="minorHAnsi"/>
          <w:vertAlign w:val="superscript"/>
        </w:rPr>
        <w:t>4</w:t>
      </w:r>
      <w:r w:rsidRPr="00B82C29">
        <w:rPr>
          <w:rFonts w:asciiTheme="minorHAnsi" w:hAnsiTheme="minorHAnsi" w:cstheme="minorHAnsi"/>
        </w:rPr>
        <w:t>, Dominique Soldati-Favre</w:t>
      </w:r>
      <w:r w:rsidRPr="00B82C29">
        <w:rPr>
          <w:rFonts w:asciiTheme="minorHAnsi" w:hAnsiTheme="minorHAnsi" w:cstheme="minorHAnsi"/>
          <w:vertAlign w:val="superscript"/>
        </w:rPr>
        <w:t>3</w:t>
      </w:r>
      <w:r w:rsidRPr="00B82C29">
        <w:rPr>
          <w:rFonts w:asciiTheme="minorHAnsi" w:hAnsiTheme="minorHAnsi" w:cstheme="minorHAnsi"/>
        </w:rPr>
        <w:t xml:space="preserve"> and </w:t>
      </w:r>
      <w:r w:rsidRPr="00B82C29">
        <w:rPr>
          <w:rFonts w:asciiTheme="minorHAnsi" w:hAnsiTheme="minorHAnsi" w:cstheme="minorHAnsi"/>
          <w:u w:val="single"/>
        </w:rPr>
        <w:t>Daniel Sojka</w:t>
      </w:r>
      <w:r w:rsidRPr="00B82C29">
        <w:rPr>
          <w:rFonts w:asciiTheme="minorHAnsi" w:hAnsiTheme="minorHAnsi" w:cstheme="minorHAnsi"/>
          <w:vertAlign w:val="superscript"/>
        </w:rPr>
        <w:t>1</w:t>
      </w:r>
      <w:r w:rsidRPr="00B82C29">
        <w:rPr>
          <w:rFonts w:asciiTheme="minorHAnsi" w:hAnsiTheme="minorHAnsi" w:cstheme="minorHAnsi"/>
        </w:rPr>
        <w:t>*</w:t>
      </w:r>
    </w:p>
    <w:p w14:paraId="73C62602" w14:textId="77777777" w:rsidR="00B82C29" w:rsidRPr="00B82C29" w:rsidRDefault="00B82C29" w:rsidP="00B82C29">
      <w:pPr>
        <w:spacing w:line="276" w:lineRule="auto"/>
        <w:ind w:firstLine="709"/>
        <w:jc w:val="center"/>
        <w:rPr>
          <w:rFonts w:asciiTheme="minorHAnsi" w:hAnsiTheme="minorHAnsi" w:cstheme="minorHAnsi"/>
          <w:iCs/>
          <w:sz w:val="32"/>
          <w:szCs w:val="32"/>
          <w:u w:val="single"/>
        </w:rPr>
      </w:pPr>
    </w:p>
    <w:p w14:paraId="13AD007B" w14:textId="77777777" w:rsidR="00B82C29" w:rsidRPr="00B82C29" w:rsidRDefault="00B82C29" w:rsidP="00B82C29">
      <w:pPr>
        <w:rPr>
          <w:rFonts w:asciiTheme="minorHAnsi" w:hAnsiTheme="minorHAnsi" w:cstheme="minorHAnsi"/>
          <w:bCs/>
          <w:iCs/>
          <w:color w:val="000000" w:themeColor="text1"/>
          <w:sz w:val="22"/>
          <w:szCs w:val="22"/>
        </w:rPr>
      </w:pPr>
      <w:r w:rsidRPr="00B82C29">
        <w:rPr>
          <w:rFonts w:asciiTheme="minorHAnsi" w:hAnsiTheme="minorHAnsi" w:cstheme="minorHAnsi"/>
          <w:bCs/>
          <w:iCs/>
          <w:color w:val="000000" w:themeColor="text1"/>
          <w:sz w:val="22"/>
          <w:szCs w:val="22"/>
          <w:vertAlign w:val="superscript"/>
          <w:lang w:val="en-GB"/>
        </w:rPr>
        <w:t xml:space="preserve">1 </w:t>
      </w:r>
      <w:r w:rsidRPr="00B82C29">
        <w:rPr>
          <w:rFonts w:asciiTheme="minorHAnsi" w:hAnsiTheme="minorHAnsi" w:cstheme="minorHAnsi"/>
          <w:bCs/>
          <w:iCs/>
          <w:color w:val="000000" w:themeColor="text1"/>
          <w:sz w:val="22"/>
          <w:szCs w:val="22"/>
          <w:lang w:val="en-GB"/>
        </w:rPr>
        <w:t>Institute of Parasitology, Biology Centre of the Czech Academy of Sciences, Branišovská 1160/31, 37005, České Budějovice, Czech Republic</w:t>
      </w:r>
      <w:r w:rsidRPr="00B82C29">
        <w:rPr>
          <w:rFonts w:asciiTheme="minorHAnsi" w:hAnsiTheme="minorHAnsi" w:cstheme="minorHAnsi"/>
          <w:bCs/>
          <w:iCs/>
          <w:color w:val="000000" w:themeColor="text1"/>
          <w:sz w:val="22"/>
          <w:szCs w:val="22"/>
        </w:rPr>
        <w:t>;</w:t>
      </w:r>
    </w:p>
    <w:p w14:paraId="6EF83BC8" w14:textId="77777777" w:rsidR="00B82C29" w:rsidRPr="00B82C29" w:rsidRDefault="00B82C29" w:rsidP="00B82C29">
      <w:pPr>
        <w:rPr>
          <w:rFonts w:asciiTheme="minorHAnsi" w:hAnsiTheme="minorHAnsi" w:cstheme="minorHAnsi"/>
          <w:bCs/>
          <w:iCs/>
          <w:color w:val="000000" w:themeColor="text1"/>
          <w:sz w:val="22"/>
          <w:szCs w:val="22"/>
          <w:vertAlign w:val="superscript"/>
        </w:rPr>
      </w:pPr>
      <w:r w:rsidRPr="00B82C29">
        <w:rPr>
          <w:rFonts w:asciiTheme="minorHAnsi" w:hAnsiTheme="minorHAnsi" w:cstheme="minorHAnsi"/>
          <w:bCs/>
          <w:iCs/>
          <w:color w:val="000000" w:themeColor="text1"/>
          <w:sz w:val="22"/>
          <w:szCs w:val="22"/>
          <w:vertAlign w:val="superscript"/>
          <w:lang w:val="en-GB"/>
        </w:rPr>
        <w:t xml:space="preserve"> 2</w:t>
      </w:r>
      <w:r w:rsidRPr="00B82C29">
        <w:rPr>
          <w:rFonts w:asciiTheme="minorHAnsi" w:hAnsiTheme="minorHAnsi" w:cstheme="minorHAnsi"/>
          <w:bCs/>
          <w:iCs/>
          <w:color w:val="000000" w:themeColor="text1"/>
          <w:sz w:val="22"/>
          <w:szCs w:val="22"/>
          <w:lang w:val="en-GB"/>
        </w:rPr>
        <w:t>Faculty of Science, University of South Bohemia in České Budějovice, Branišovská 1760c, CZ-37005 České Budějovice, Czech Republic</w:t>
      </w:r>
      <w:r w:rsidRPr="00B82C29">
        <w:rPr>
          <w:rFonts w:asciiTheme="minorHAnsi" w:hAnsiTheme="minorHAnsi" w:cstheme="minorHAnsi"/>
          <w:bCs/>
          <w:iCs/>
          <w:color w:val="000000" w:themeColor="text1"/>
          <w:sz w:val="22"/>
          <w:szCs w:val="22"/>
        </w:rPr>
        <w:t>;</w:t>
      </w:r>
      <w:r w:rsidRPr="00B82C29">
        <w:rPr>
          <w:rFonts w:asciiTheme="minorHAnsi" w:hAnsiTheme="minorHAnsi" w:cstheme="minorHAnsi"/>
          <w:bCs/>
          <w:iCs/>
          <w:color w:val="000000" w:themeColor="text1"/>
          <w:sz w:val="22"/>
          <w:szCs w:val="22"/>
          <w:vertAlign w:val="superscript"/>
        </w:rPr>
        <w:t xml:space="preserve"> </w:t>
      </w:r>
    </w:p>
    <w:p w14:paraId="441A6456" w14:textId="77777777" w:rsidR="00B82C29" w:rsidRPr="00B82C29" w:rsidRDefault="00B82C29" w:rsidP="00B82C29">
      <w:pPr>
        <w:rPr>
          <w:rFonts w:asciiTheme="minorHAnsi" w:hAnsiTheme="minorHAnsi" w:cstheme="minorHAnsi"/>
          <w:bCs/>
          <w:iCs/>
          <w:color w:val="000000" w:themeColor="text1"/>
          <w:sz w:val="22"/>
          <w:szCs w:val="22"/>
          <w:lang w:val="en-GB"/>
        </w:rPr>
      </w:pPr>
      <w:r w:rsidRPr="00B82C29">
        <w:rPr>
          <w:rFonts w:asciiTheme="minorHAnsi" w:hAnsiTheme="minorHAnsi" w:cstheme="minorHAnsi"/>
          <w:bCs/>
          <w:iCs/>
          <w:color w:val="000000" w:themeColor="text1"/>
          <w:sz w:val="22"/>
          <w:szCs w:val="22"/>
          <w:vertAlign w:val="superscript"/>
        </w:rPr>
        <w:t>3</w:t>
      </w:r>
      <w:r w:rsidRPr="00B82C29">
        <w:rPr>
          <w:rFonts w:asciiTheme="minorHAnsi" w:hAnsiTheme="minorHAnsi" w:cstheme="minorHAnsi"/>
          <w:bCs/>
          <w:iCs/>
          <w:color w:val="000000" w:themeColor="text1"/>
          <w:sz w:val="22"/>
          <w:szCs w:val="22"/>
          <w:lang w:val="en-GB"/>
        </w:rPr>
        <w:t>Department of Microbiology and Molecular Medicine - Faculty of Medicine, University of Geneva, rue Michel-Servet CH - 1211 Geneva 4, Switzerland</w:t>
      </w:r>
      <w:r w:rsidRPr="00B82C29">
        <w:rPr>
          <w:rFonts w:asciiTheme="minorHAnsi" w:hAnsiTheme="minorHAnsi" w:cstheme="minorHAnsi"/>
          <w:bCs/>
          <w:iCs/>
          <w:color w:val="000000" w:themeColor="text1"/>
          <w:sz w:val="22"/>
          <w:szCs w:val="22"/>
        </w:rPr>
        <w:t>;</w:t>
      </w:r>
    </w:p>
    <w:p w14:paraId="43881AAC" w14:textId="77777777" w:rsidR="00B82C29" w:rsidRPr="00B82C29" w:rsidRDefault="00B82C29" w:rsidP="00B82C29">
      <w:pPr>
        <w:rPr>
          <w:rFonts w:asciiTheme="minorHAnsi" w:hAnsiTheme="minorHAnsi" w:cstheme="minorHAnsi"/>
          <w:bCs/>
          <w:iCs/>
          <w:color w:val="000000" w:themeColor="text1"/>
          <w:sz w:val="22"/>
          <w:szCs w:val="22"/>
        </w:rPr>
      </w:pPr>
      <w:r w:rsidRPr="00B82C29">
        <w:rPr>
          <w:rFonts w:asciiTheme="minorHAnsi" w:hAnsiTheme="minorHAnsi" w:cstheme="minorHAnsi"/>
          <w:bCs/>
          <w:iCs/>
          <w:color w:val="000000" w:themeColor="text1"/>
          <w:sz w:val="22"/>
          <w:szCs w:val="22"/>
          <w:vertAlign w:val="superscript"/>
        </w:rPr>
        <w:t>4</w:t>
      </w:r>
      <w:r w:rsidRPr="00B82C29">
        <w:rPr>
          <w:rFonts w:asciiTheme="minorHAnsi" w:hAnsiTheme="minorHAnsi" w:cstheme="minorHAnsi"/>
          <w:bCs/>
          <w:iCs/>
          <w:color w:val="000000" w:themeColor="text1"/>
          <w:sz w:val="22"/>
          <w:szCs w:val="22"/>
        </w:rPr>
        <w:t xml:space="preserve">National Research Center for Protozoan Diseases, Obihiro University of Agriculture and Veterinary Medicine, </w:t>
      </w:r>
      <w:r w:rsidRPr="00B82C29">
        <w:rPr>
          <w:rFonts w:asciiTheme="minorHAnsi" w:eastAsia="MS Gothic" w:hAnsiTheme="minorHAnsi" w:cstheme="minorHAnsi"/>
          <w:bCs/>
          <w:iCs/>
          <w:color w:val="000000" w:themeColor="text1"/>
          <w:sz w:val="22"/>
          <w:szCs w:val="22"/>
        </w:rPr>
        <w:t>〒</w:t>
      </w:r>
      <w:r w:rsidRPr="00B82C29">
        <w:rPr>
          <w:rFonts w:asciiTheme="minorHAnsi" w:hAnsiTheme="minorHAnsi" w:cstheme="minorHAnsi"/>
          <w:bCs/>
          <w:iCs/>
          <w:color w:val="000000" w:themeColor="text1"/>
          <w:sz w:val="22"/>
          <w:szCs w:val="22"/>
        </w:rPr>
        <w:t>080-8555 Hokkaido, Obihiro, Inadacho, Nishi 2 Sen−</w:t>
      </w:r>
      <w:r w:rsidRPr="00B82C29">
        <w:rPr>
          <w:rFonts w:asciiTheme="minorHAnsi" w:eastAsia="MS Gothic" w:hAnsiTheme="minorHAnsi" w:cstheme="minorHAnsi"/>
          <w:bCs/>
          <w:iCs/>
          <w:color w:val="000000" w:themeColor="text1"/>
          <w:sz w:val="22"/>
          <w:szCs w:val="22"/>
        </w:rPr>
        <w:t>１１</w:t>
      </w:r>
      <w:r w:rsidRPr="00B82C29">
        <w:rPr>
          <w:rFonts w:asciiTheme="minorHAnsi" w:hAnsiTheme="minorHAnsi" w:cstheme="minorHAnsi"/>
          <w:bCs/>
          <w:iCs/>
          <w:color w:val="000000" w:themeColor="text1"/>
          <w:sz w:val="22"/>
          <w:szCs w:val="22"/>
        </w:rPr>
        <w:t>, Japan.</w:t>
      </w:r>
    </w:p>
    <w:p w14:paraId="577413BF" w14:textId="77777777" w:rsidR="00B82C29" w:rsidRDefault="00B82C29" w:rsidP="00B82C29">
      <w:pPr>
        <w:jc w:val="center"/>
        <w:rPr>
          <w:rFonts w:ascii="Calibri" w:hAnsi="Calibri" w:cs="Calibri"/>
          <w:color w:val="000000"/>
          <w:sz w:val="22"/>
          <w:szCs w:val="22"/>
        </w:rPr>
      </w:pPr>
    </w:p>
    <w:p w14:paraId="1B26695F" w14:textId="77777777" w:rsidR="00B82C29" w:rsidRPr="00B002F8" w:rsidRDefault="00B82C29" w:rsidP="00B82C29">
      <w:pPr>
        <w:jc w:val="center"/>
        <w:rPr>
          <w:rFonts w:ascii="Calibri" w:hAnsi="Calibri" w:cs="Calibri"/>
        </w:rPr>
      </w:pPr>
    </w:p>
    <w:p w14:paraId="2BA512F7" w14:textId="77777777" w:rsidR="00B82C29" w:rsidRPr="00B82C29" w:rsidRDefault="00B82C29" w:rsidP="00B82C29">
      <w:pPr>
        <w:spacing w:before="100" w:beforeAutospacing="1" w:after="100" w:afterAutospacing="1"/>
        <w:jc w:val="both"/>
        <w:rPr>
          <w:rFonts w:asciiTheme="minorHAnsi" w:hAnsiTheme="minorHAnsi" w:cstheme="minorHAnsi"/>
        </w:rPr>
      </w:pPr>
      <w:r w:rsidRPr="00B82C29">
        <w:rPr>
          <w:rFonts w:asciiTheme="minorHAnsi" w:hAnsiTheme="minorHAnsi" w:cstheme="minorHAnsi"/>
        </w:rPr>
        <w:t xml:space="preserve">Apicomplexan parasites use a cascade of specific proteolytic enzymes driving the function of the apical complex during egress and invasion of host cells. These processes are critical for propagation of </w:t>
      </w:r>
      <w:r w:rsidRPr="00B82C29">
        <w:rPr>
          <w:rFonts w:asciiTheme="minorHAnsi" w:hAnsiTheme="minorHAnsi" w:cstheme="minorHAnsi"/>
          <w:i/>
          <w:iCs/>
        </w:rPr>
        <w:t>Babesia</w:t>
      </w:r>
      <w:r w:rsidRPr="00B82C29">
        <w:rPr>
          <w:rFonts w:asciiTheme="minorHAnsi" w:hAnsiTheme="minorHAnsi" w:cstheme="minorHAnsi"/>
        </w:rPr>
        <w:t xml:space="preserve"> through the asexual cycle in host erythrocytes causing for babesiosis. Analysis of </w:t>
      </w:r>
      <w:r w:rsidRPr="00B82C29">
        <w:rPr>
          <w:rFonts w:asciiTheme="minorHAnsi" w:hAnsiTheme="minorHAnsi" w:cstheme="minorHAnsi"/>
          <w:i/>
          <w:iCs/>
        </w:rPr>
        <w:t>Babesia</w:t>
      </w:r>
      <w:r w:rsidRPr="00B82C29">
        <w:rPr>
          <w:rFonts w:asciiTheme="minorHAnsi" w:hAnsiTheme="minorHAnsi" w:cstheme="minorHAnsi"/>
        </w:rPr>
        <w:t xml:space="preserve"> omics datasets, leveraging knowledge from </w:t>
      </w:r>
      <w:r w:rsidRPr="00B82C29">
        <w:rPr>
          <w:rFonts w:asciiTheme="minorHAnsi" w:hAnsiTheme="minorHAnsi" w:cstheme="minorHAnsi"/>
          <w:i/>
          <w:iCs/>
        </w:rPr>
        <w:t>Toxoplasma</w:t>
      </w:r>
      <w:r w:rsidRPr="00B82C29">
        <w:rPr>
          <w:rFonts w:asciiTheme="minorHAnsi" w:hAnsiTheme="minorHAnsi" w:cstheme="minorHAnsi"/>
        </w:rPr>
        <w:t xml:space="preserve"> and </w:t>
      </w:r>
      <w:r w:rsidRPr="00B82C29">
        <w:rPr>
          <w:rFonts w:asciiTheme="minorHAnsi" w:hAnsiTheme="minorHAnsi" w:cstheme="minorHAnsi"/>
          <w:i/>
          <w:iCs/>
        </w:rPr>
        <w:t>Plasmodium</w:t>
      </w:r>
      <w:r w:rsidRPr="00B82C29">
        <w:rPr>
          <w:rFonts w:asciiTheme="minorHAnsi" w:hAnsiTheme="minorHAnsi" w:cstheme="minorHAnsi"/>
        </w:rPr>
        <w:t xml:space="preserve">, identified two clade-C </w:t>
      </w:r>
      <w:r w:rsidRPr="00B82C29">
        <w:rPr>
          <w:rFonts w:asciiTheme="minorHAnsi" w:hAnsiTheme="minorHAnsi" w:cstheme="minorHAnsi"/>
          <w:i/>
          <w:iCs/>
        </w:rPr>
        <w:t>Babesia divergens</w:t>
      </w:r>
      <w:r w:rsidRPr="00B82C29">
        <w:rPr>
          <w:rFonts w:asciiTheme="minorHAnsi" w:hAnsiTheme="minorHAnsi" w:cstheme="minorHAnsi"/>
        </w:rPr>
        <w:t xml:space="preserve"> aspartyl proteases, homologous to </w:t>
      </w:r>
      <w:r w:rsidRPr="00B82C29">
        <w:rPr>
          <w:rFonts w:asciiTheme="minorHAnsi" w:hAnsiTheme="minorHAnsi" w:cstheme="minorHAnsi"/>
          <w:i/>
          <w:iCs/>
        </w:rPr>
        <w:t xml:space="preserve">Plasmodium falciparum </w:t>
      </w:r>
      <w:r w:rsidRPr="00B82C29">
        <w:rPr>
          <w:rFonts w:asciiTheme="minorHAnsi" w:hAnsiTheme="minorHAnsi" w:cstheme="minorHAnsi"/>
        </w:rPr>
        <w:t>plasmepsins IX/X (</w:t>
      </w:r>
      <w:r w:rsidRPr="00B82C29">
        <w:rPr>
          <w:rFonts w:asciiTheme="minorHAnsi" w:hAnsiTheme="minorHAnsi" w:cstheme="minorHAnsi"/>
          <w:i/>
          <w:iCs/>
        </w:rPr>
        <w:t>Pf</w:t>
      </w:r>
      <w:r w:rsidRPr="00B82C29">
        <w:rPr>
          <w:rFonts w:asciiTheme="minorHAnsi" w:hAnsiTheme="minorHAnsi" w:cstheme="minorHAnsi"/>
        </w:rPr>
        <w:t xml:space="preserve">PMIX/X) and </w:t>
      </w:r>
      <w:r w:rsidRPr="00B82C29">
        <w:rPr>
          <w:rFonts w:asciiTheme="minorHAnsi" w:hAnsiTheme="minorHAnsi" w:cstheme="minorHAnsi"/>
          <w:i/>
          <w:iCs/>
        </w:rPr>
        <w:t>Toxoplasma gondii</w:t>
      </w:r>
      <w:r w:rsidRPr="00B82C29">
        <w:rPr>
          <w:rFonts w:asciiTheme="minorHAnsi" w:hAnsiTheme="minorHAnsi" w:cstheme="minorHAnsi"/>
        </w:rPr>
        <w:t xml:space="preserve"> </w:t>
      </w:r>
      <w:r w:rsidRPr="00B82C29">
        <w:rPr>
          <w:rFonts w:asciiTheme="minorHAnsi" w:hAnsiTheme="minorHAnsi" w:cstheme="minorHAnsi"/>
          <w:i/>
          <w:iCs/>
        </w:rPr>
        <w:t>Tg</w:t>
      </w:r>
      <w:r w:rsidRPr="00B82C29">
        <w:rPr>
          <w:rFonts w:asciiTheme="minorHAnsi" w:hAnsiTheme="minorHAnsi" w:cstheme="minorHAnsi"/>
        </w:rPr>
        <w:t xml:space="preserve">ASP3, designated </w:t>
      </w:r>
      <w:r w:rsidRPr="00B82C29">
        <w:rPr>
          <w:rFonts w:asciiTheme="minorHAnsi" w:hAnsiTheme="minorHAnsi" w:cstheme="minorHAnsi"/>
          <w:i/>
          <w:iCs/>
        </w:rPr>
        <w:t>Bd</w:t>
      </w:r>
      <w:r w:rsidRPr="00B82C29">
        <w:rPr>
          <w:rFonts w:asciiTheme="minorHAnsi" w:hAnsiTheme="minorHAnsi" w:cstheme="minorHAnsi"/>
        </w:rPr>
        <w:t xml:space="preserve">ASP3a/b. These are considered key drivers of apical complex processing associated with egress and invasion of host erythrocytes. Expression profiling across the </w:t>
      </w:r>
      <w:r w:rsidRPr="00B82C29">
        <w:rPr>
          <w:rFonts w:asciiTheme="minorHAnsi" w:hAnsiTheme="minorHAnsi" w:cstheme="minorHAnsi"/>
          <w:i/>
          <w:iCs/>
        </w:rPr>
        <w:t>B. divergens</w:t>
      </w:r>
      <w:r w:rsidRPr="00B82C29">
        <w:rPr>
          <w:rFonts w:asciiTheme="minorHAnsi" w:hAnsiTheme="minorHAnsi" w:cstheme="minorHAnsi"/>
        </w:rPr>
        <w:t xml:space="preserve"> lifecycle revealed </w:t>
      </w:r>
      <w:r w:rsidRPr="00B82C29">
        <w:rPr>
          <w:rFonts w:asciiTheme="minorHAnsi" w:hAnsiTheme="minorHAnsi" w:cstheme="minorHAnsi"/>
          <w:i/>
          <w:iCs/>
        </w:rPr>
        <w:t>Bd</w:t>
      </w:r>
      <w:r w:rsidRPr="00B82C29">
        <w:rPr>
          <w:rFonts w:asciiTheme="minorHAnsi" w:hAnsiTheme="minorHAnsi" w:cstheme="minorHAnsi"/>
        </w:rPr>
        <w:t xml:space="preserve">ASP3a/b presence in blood stages but, in contrast with malarial </w:t>
      </w:r>
      <w:r w:rsidRPr="00B82C29">
        <w:rPr>
          <w:rFonts w:asciiTheme="minorHAnsi" w:hAnsiTheme="minorHAnsi" w:cstheme="minorHAnsi"/>
          <w:i/>
          <w:iCs/>
        </w:rPr>
        <w:t>Pf</w:t>
      </w:r>
      <w:r w:rsidRPr="00B82C29">
        <w:rPr>
          <w:rFonts w:asciiTheme="minorHAnsi" w:hAnsiTheme="minorHAnsi" w:cstheme="minorHAnsi"/>
        </w:rPr>
        <w:t xml:space="preserve">PMX, not in tick/vector stages. This indicates unique coevolutionary adaptations of piroplasms to the tick bloodfeeding behavior. </w:t>
      </w:r>
      <w:r w:rsidRPr="00B82C29">
        <w:rPr>
          <w:rFonts w:asciiTheme="minorHAnsi" w:hAnsiTheme="minorHAnsi" w:cstheme="minorHAnsi"/>
          <w:i/>
          <w:iCs/>
        </w:rPr>
        <w:t>Bd</w:t>
      </w:r>
      <w:r w:rsidRPr="00B82C29">
        <w:rPr>
          <w:rFonts w:asciiTheme="minorHAnsi" w:hAnsiTheme="minorHAnsi" w:cstheme="minorHAnsi"/>
        </w:rPr>
        <w:t xml:space="preserve">ASP3s were expressed as active enzymes in bacterial and baculovirus-infected insect cells. Immunomicroscopy utilizing gained polyclonal antibodies localized BdASP3a to apical complex associated organelles of intraerythrocytic </w:t>
      </w:r>
      <w:r w:rsidRPr="00B82C29">
        <w:rPr>
          <w:rFonts w:asciiTheme="minorHAnsi" w:hAnsiTheme="minorHAnsi" w:cstheme="minorHAnsi"/>
          <w:i/>
          <w:iCs/>
        </w:rPr>
        <w:t>B. divergens</w:t>
      </w:r>
      <w:r w:rsidRPr="00B82C29">
        <w:rPr>
          <w:rFonts w:asciiTheme="minorHAnsi" w:hAnsiTheme="minorHAnsi" w:cstheme="minorHAnsi"/>
        </w:rPr>
        <w:t xml:space="preserve">. Active recombinant BdASP3s were used to determine enzyme kinetics with </w:t>
      </w:r>
      <w:r w:rsidRPr="00B82C29">
        <w:rPr>
          <w:rFonts w:asciiTheme="minorHAnsi" w:hAnsiTheme="minorHAnsi" w:cstheme="minorHAnsi"/>
          <w:i/>
          <w:iCs/>
        </w:rPr>
        <w:t>P. falciparum</w:t>
      </w:r>
      <w:r w:rsidRPr="00B82C29">
        <w:rPr>
          <w:rFonts w:asciiTheme="minorHAnsi" w:hAnsiTheme="minorHAnsi" w:cstheme="minorHAnsi"/>
        </w:rPr>
        <w:t xml:space="preserve">-derived fluorescent substrates, and to confirm enzyme inhibition by 49C, the hydroxyethylamine inhibitor </w:t>
      </w:r>
      <w:r w:rsidRPr="00B82C29">
        <w:rPr>
          <w:rFonts w:asciiTheme="minorHAnsi" w:hAnsiTheme="minorHAnsi" w:cstheme="minorHAnsi"/>
          <w:i/>
          <w:iCs/>
        </w:rPr>
        <w:t>of Pf</w:t>
      </w:r>
      <w:r w:rsidRPr="00B82C29">
        <w:rPr>
          <w:rFonts w:asciiTheme="minorHAnsi" w:hAnsiTheme="minorHAnsi" w:cstheme="minorHAnsi"/>
        </w:rPr>
        <w:t xml:space="preserve">PMX/IX. Its addition to RBC-cultured </w:t>
      </w:r>
      <w:r w:rsidRPr="00B82C29">
        <w:rPr>
          <w:rFonts w:asciiTheme="minorHAnsi" w:hAnsiTheme="minorHAnsi" w:cstheme="minorHAnsi"/>
          <w:i/>
          <w:iCs/>
        </w:rPr>
        <w:t>B. divergens</w:t>
      </w:r>
      <w:r w:rsidRPr="00B82C29">
        <w:rPr>
          <w:rFonts w:asciiTheme="minorHAnsi" w:hAnsiTheme="minorHAnsi" w:cstheme="minorHAnsi"/>
        </w:rPr>
        <w:t xml:space="preserve"> hinted</w:t>
      </w:r>
      <w:r w:rsidRPr="00B82C29">
        <w:rPr>
          <w:rFonts w:asciiTheme="minorHAnsi" w:hAnsiTheme="minorHAnsi" w:cstheme="minorHAnsi"/>
          <w:i/>
          <w:iCs/>
        </w:rPr>
        <w:t xml:space="preserve"> Bd</w:t>
      </w:r>
      <w:r w:rsidRPr="00B82C29">
        <w:rPr>
          <w:rFonts w:asciiTheme="minorHAnsi" w:hAnsiTheme="minorHAnsi" w:cstheme="minorHAnsi"/>
        </w:rPr>
        <w:t xml:space="preserve">ASP3a/b roles in invasion rather than egress evidenced by the accumulation </w:t>
      </w:r>
      <w:r w:rsidRPr="00B82C29">
        <w:rPr>
          <w:rFonts w:asciiTheme="minorHAnsi" w:hAnsiTheme="minorHAnsi" w:cstheme="minorHAnsi"/>
        </w:rPr>
        <w:lastRenderedPageBreak/>
        <w:t>of free merozoites. Trans-genera complementation with iKD-</w:t>
      </w:r>
      <w:r w:rsidRPr="00B82C29">
        <w:rPr>
          <w:rFonts w:asciiTheme="minorHAnsi" w:hAnsiTheme="minorHAnsi" w:cstheme="minorHAnsi"/>
          <w:i/>
          <w:iCs/>
        </w:rPr>
        <w:t>Tg</w:t>
      </w:r>
      <w:r w:rsidRPr="00B82C29">
        <w:rPr>
          <w:rFonts w:asciiTheme="minorHAnsi" w:hAnsiTheme="minorHAnsi" w:cstheme="minorHAnsi"/>
        </w:rPr>
        <w:t xml:space="preserve">ASP3 </w:t>
      </w:r>
      <w:r w:rsidRPr="00B82C29">
        <w:rPr>
          <w:rFonts w:asciiTheme="minorHAnsi" w:hAnsiTheme="minorHAnsi" w:cstheme="minorHAnsi"/>
          <w:i/>
          <w:iCs/>
        </w:rPr>
        <w:t>T. gondii</w:t>
      </w:r>
      <w:r w:rsidRPr="00B82C29">
        <w:rPr>
          <w:rFonts w:asciiTheme="minorHAnsi" w:hAnsiTheme="minorHAnsi" w:cstheme="minorHAnsi"/>
        </w:rPr>
        <w:t xml:space="preserve"> strain suggested </w:t>
      </w:r>
      <w:r w:rsidRPr="00B82C29">
        <w:rPr>
          <w:rFonts w:asciiTheme="minorHAnsi" w:hAnsiTheme="minorHAnsi" w:cstheme="minorHAnsi"/>
          <w:i/>
          <w:iCs/>
        </w:rPr>
        <w:t>Bd</w:t>
      </w:r>
      <w:r w:rsidRPr="00B82C29">
        <w:rPr>
          <w:rFonts w:asciiTheme="minorHAnsi" w:hAnsiTheme="minorHAnsi" w:cstheme="minorHAnsi"/>
        </w:rPr>
        <w:t xml:space="preserve">ASP3s' involvement in protein maturation, mirroring </w:t>
      </w:r>
      <w:r w:rsidRPr="00B82C29">
        <w:rPr>
          <w:rFonts w:asciiTheme="minorHAnsi" w:hAnsiTheme="minorHAnsi" w:cstheme="minorHAnsi"/>
          <w:i/>
          <w:iCs/>
        </w:rPr>
        <w:t>Tg</w:t>
      </w:r>
      <w:r w:rsidRPr="00B82C29">
        <w:rPr>
          <w:rFonts w:asciiTheme="minorHAnsi" w:hAnsiTheme="minorHAnsi" w:cstheme="minorHAnsi"/>
        </w:rPr>
        <w:t xml:space="preserve">ASP3's secretory pathway but not its deleterious phenotype, indicating species-specific functions. Importantly, our use of conventional and conditional gene KO/KD is instrumental in deciphering the molecular phenotypes by proteomic analyses. These strategies are crucial for confirming the indispensable roles of BdASP3a/b and for their validation as therapeutical targets. In conclusion, </w:t>
      </w:r>
      <w:r w:rsidRPr="00B82C29">
        <w:rPr>
          <w:rFonts w:asciiTheme="minorHAnsi" w:eastAsia="MS PGothic" w:hAnsiTheme="minorHAnsi" w:cstheme="minorHAnsi"/>
          <w:bCs/>
          <w:iCs/>
        </w:rPr>
        <w:t xml:space="preserve">in line with their malarial orthologues, the two </w:t>
      </w:r>
      <w:r w:rsidRPr="00B82C29">
        <w:rPr>
          <w:rFonts w:asciiTheme="minorHAnsi" w:eastAsia="MS PGothic" w:hAnsiTheme="minorHAnsi" w:cstheme="minorHAnsi"/>
          <w:bCs/>
          <w:i/>
        </w:rPr>
        <w:t>Bd</w:t>
      </w:r>
      <w:r w:rsidRPr="00B82C29">
        <w:rPr>
          <w:rFonts w:asciiTheme="minorHAnsi" w:eastAsia="MS PGothic" w:hAnsiTheme="minorHAnsi" w:cstheme="minorHAnsi"/>
          <w:bCs/>
          <w:iCs/>
        </w:rPr>
        <w:t>ASP3</w:t>
      </w:r>
      <w:r w:rsidRPr="00B82C29">
        <w:rPr>
          <w:rFonts w:asciiTheme="minorHAnsi" w:eastAsia="MS PGothic" w:hAnsiTheme="minorHAnsi" w:cstheme="minorHAnsi"/>
          <w:bCs/>
          <w:i/>
        </w:rPr>
        <w:t xml:space="preserve"> </w:t>
      </w:r>
      <w:r w:rsidRPr="00B82C29">
        <w:rPr>
          <w:rFonts w:asciiTheme="minorHAnsi" w:eastAsia="MS PGothic" w:hAnsiTheme="minorHAnsi" w:cstheme="minorHAnsi"/>
          <w:bCs/>
          <w:iCs/>
        </w:rPr>
        <w:t>enzymes</w:t>
      </w:r>
      <w:r w:rsidRPr="00B82C29">
        <w:rPr>
          <w:rFonts w:asciiTheme="minorHAnsi" w:eastAsia="MS PGothic" w:hAnsiTheme="minorHAnsi" w:cstheme="minorHAnsi"/>
          <w:bCs/>
          <w:i/>
        </w:rPr>
        <w:t xml:space="preserve"> </w:t>
      </w:r>
      <w:r w:rsidRPr="00B82C29">
        <w:rPr>
          <w:rFonts w:asciiTheme="minorHAnsi" w:eastAsia="MS PGothic" w:hAnsiTheme="minorHAnsi" w:cstheme="minorHAnsi"/>
          <w:bCs/>
          <w:iCs/>
        </w:rPr>
        <w:t xml:space="preserve">play analogous yet not completely identical role in </w:t>
      </w:r>
      <w:r w:rsidRPr="00B82C29">
        <w:rPr>
          <w:rFonts w:asciiTheme="minorHAnsi" w:eastAsia="MS PGothic" w:hAnsiTheme="minorHAnsi" w:cstheme="minorHAnsi"/>
          <w:bCs/>
          <w:i/>
        </w:rPr>
        <w:t>Babesia</w:t>
      </w:r>
      <w:r w:rsidRPr="00B82C29">
        <w:rPr>
          <w:rFonts w:asciiTheme="minorHAnsi" w:eastAsia="MS PGothic" w:hAnsiTheme="minorHAnsi" w:cstheme="minorHAnsi"/>
          <w:bCs/>
          <w:iCs/>
        </w:rPr>
        <w:t xml:space="preserve"> propagation and represent druggable proteolytic targets for the development of the yet missing </w:t>
      </w:r>
      <w:r w:rsidRPr="00B82C29">
        <w:rPr>
          <w:rFonts w:asciiTheme="minorHAnsi" w:eastAsia="MS PGothic" w:hAnsiTheme="minorHAnsi" w:cstheme="minorHAnsi"/>
          <w:bCs/>
          <w:i/>
        </w:rPr>
        <w:t>Babesia</w:t>
      </w:r>
      <w:r w:rsidRPr="00B82C29">
        <w:rPr>
          <w:rFonts w:asciiTheme="minorHAnsi" w:eastAsia="MS PGothic" w:hAnsiTheme="minorHAnsi" w:cstheme="minorHAnsi"/>
          <w:bCs/>
          <w:iCs/>
        </w:rPr>
        <w:t>-specific chemotherapy.</w:t>
      </w:r>
    </w:p>
    <w:p w14:paraId="76D56312" w14:textId="77777777" w:rsidR="00B82C29" w:rsidRDefault="00B82C29" w:rsidP="00B82C29">
      <w:pPr>
        <w:rPr>
          <w:rFonts w:ascii="Calibri" w:hAnsi="Calibri" w:cs="Calibri"/>
        </w:rPr>
      </w:pPr>
    </w:p>
    <w:p w14:paraId="7346A578" w14:textId="0F95580D" w:rsidR="00B82C29" w:rsidRDefault="00B82C29" w:rsidP="00B82C29">
      <w:r w:rsidRPr="001D5530">
        <w:t xml:space="preserve"> </w:t>
      </w:r>
      <w:r w:rsidRPr="001D5530">
        <w:rPr>
          <w:noProof/>
        </w:rPr>
        <w:drawing>
          <wp:inline distT="0" distB="0" distL="0" distR="0" wp14:anchorId="02A755A8" wp14:editId="688DAD80">
            <wp:extent cx="816429" cy="1058166"/>
            <wp:effectExtent l="0" t="0" r="0" b="0"/>
            <wp:docPr id="5" name="Obrázek 4" descr="Obsah obrázku venku, obloha, osoba, Lidská tvář&#10;&#10;Popis byl vytvořen automaticky">
              <a:extLst xmlns:a="http://schemas.openxmlformats.org/drawingml/2006/main">
                <a:ext uri="{FF2B5EF4-FFF2-40B4-BE49-F238E27FC236}">
                  <a16:creationId xmlns:a16="http://schemas.microsoft.com/office/drawing/2014/main" id="{CB397080-76F1-4624-F5FD-3C4A4A728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descr="Obsah obrázku venku, obloha, osoba, Lidská tvář&#10;&#10;Popis byl vytvořen automaticky">
                      <a:extLst>
                        <a:ext uri="{FF2B5EF4-FFF2-40B4-BE49-F238E27FC236}">
                          <a16:creationId xmlns:a16="http://schemas.microsoft.com/office/drawing/2014/main" id="{CB397080-76F1-4624-F5FD-3C4A4A728C3A}"/>
                        </a:ext>
                      </a:extLst>
                    </pic:cNvPr>
                    <pic:cNvPicPr>
                      <a:picLocks noChangeAspect="1"/>
                    </pic:cNvPicPr>
                  </pic:nvPicPr>
                  <pic:blipFill rotWithShape="1">
                    <a:blip r:embed="rId20"/>
                    <a:srcRect l="43832" t="37698" r="26334" b="10640"/>
                    <a:stretch/>
                  </pic:blipFill>
                  <pic:spPr>
                    <a:xfrm>
                      <a:off x="0" y="0"/>
                      <a:ext cx="830633" cy="1076576"/>
                    </a:xfrm>
                    <a:prstGeom prst="rect">
                      <a:avLst/>
                    </a:prstGeom>
                  </pic:spPr>
                </pic:pic>
              </a:graphicData>
            </a:graphic>
          </wp:inline>
        </w:drawing>
      </w:r>
    </w:p>
    <w:p w14:paraId="41FD0AEF" w14:textId="77777777" w:rsidR="00B82C29" w:rsidRDefault="00B82C29" w:rsidP="00B82C29">
      <w:pPr>
        <w:rPr>
          <w:rFonts w:ascii="Calibri" w:hAnsi="Calibri" w:cs="Calibri"/>
        </w:rPr>
      </w:pPr>
    </w:p>
    <w:p w14:paraId="7846D710" w14:textId="77777777" w:rsidR="00B82C29" w:rsidRDefault="00B82C29" w:rsidP="00B82C29">
      <w:pPr>
        <w:rPr>
          <w:rFonts w:ascii="Calibri" w:hAnsi="Calibri" w:cs="Calibri"/>
          <w:b/>
          <w:bCs/>
          <w:sz w:val="22"/>
          <w:szCs w:val="22"/>
        </w:rPr>
      </w:pPr>
      <w:r>
        <w:rPr>
          <w:rFonts w:ascii="Calibri" w:hAnsi="Calibri" w:cs="Calibri"/>
          <w:b/>
          <w:bCs/>
          <w:sz w:val="22"/>
          <w:szCs w:val="22"/>
        </w:rPr>
        <w:t>References</w:t>
      </w:r>
    </w:p>
    <w:p w14:paraId="50B5855C" w14:textId="77777777" w:rsidR="00B82C29" w:rsidRDefault="00B82C29" w:rsidP="00B82C29">
      <w:pPr>
        <w:rPr>
          <w:rFonts w:ascii="Calibri" w:hAnsi="Calibri" w:cs="Calibri"/>
          <w:spacing w:val="2"/>
          <w:sz w:val="22"/>
          <w:szCs w:val="22"/>
          <w:shd w:val="clear" w:color="auto" w:fill="FFFFFF"/>
        </w:rPr>
      </w:pPr>
      <w:r>
        <w:rPr>
          <w:rFonts w:ascii="Calibri" w:hAnsi="Calibri" w:cs="Calibri"/>
          <w:sz w:val="22"/>
          <w:szCs w:val="22"/>
          <w:lang w:val="hu-HU"/>
        </w:rPr>
        <w:t xml:space="preserve">[1] </w:t>
      </w:r>
      <w:r>
        <w:rPr>
          <w:rFonts w:ascii="Calibri" w:hAnsi="Calibri" w:cs="Calibri"/>
          <w:spacing w:val="2"/>
          <w:sz w:val="22"/>
          <w:szCs w:val="22"/>
          <w:shd w:val="clear" w:color="auto" w:fill="FFFFFF"/>
        </w:rPr>
        <w:t>ref, etc NA</w:t>
      </w:r>
    </w:p>
    <w:p w14:paraId="5ECA00B3" w14:textId="77777777" w:rsidR="00B82C29" w:rsidRDefault="00B82C29" w:rsidP="00B82C29">
      <w:pPr>
        <w:rPr>
          <w:rFonts w:ascii="Calibri" w:hAnsi="Calibri" w:cs="Calibri"/>
          <w:spacing w:val="2"/>
          <w:sz w:val="22"/>
          <w:szCs w:val="22"/>
          <w:shd w:val="clear" w:color="auto" w:fill="FFFFFF"/>
        </w:rPr>
      </w:pPr>
    </w:p>
    <w:p w14:paraId="0689AA8C" w14:textId="77777777" w:rsidR="00B82C29" w:rsidRDefault="00B82C29" w:rsidP="00B82C29">
      <w:pPr>
        <w:rPr>
          <w:rFonts w:ascii="Calibri" w:hAnsi="Calibri" w:cs="Calibri"/>
          <w:b/>
          <w:bCs/>
          <w:spacing w:val="2"/>
          <w:sz w:val="22"/>
          <w:szCs w:val="22"/>
          <w:shd w:val="clear" w:color="auto" w:fill="FFFFFF"/>
        </w:rPr>
      </w:pPr>
      <w:r>
        <w:rPr>
          <w:rFonts w:ascii="Calibri" w:hAnsi="Calibri" w:cs="Calibri"/>
          <w:b/>
          <w:bCs/>
          <w:spacing w:val="2"/>
          <w:sz w:val="22"/>
          <w:szCs w:val="22"/>
          <w:shd w:val="clear" w:color="auto" w:fill="FFFFFF"/>
        </w:rPr>
        <w:t>Acknowledgment</w:t>
      </w:r>
    </w:p>
    <w:p w14:paraId="6A607654" w14:textId="77777777" w:rsidR="00B82C29" w:rsidRPr="00A16AF0" w:rsidRDefault="00B82C29" w:rsidP="00B82C29">
      <w:pPr>
        <w:jc w:val="both"/>
        <w:rPr>
          <w:rFonts w:asciiTheme="minorHAnsi" w:hAnsiTheme="minorHAnsi" w:cstheme="minorHAnsi"/>
          <w:sz w:val="22"/>
          <w:szCs w:val="22"/>
        </w:rPr>
      </w:pPr>
      <w:r w:rsidRPr="00A16AF0">
        <w:rPr>
          <w:rFonts w:asciiTheme="minorHAnsi" w:hAnsiTheme="minorHAnsi" w:cstheme="minorHAnsi"/>
          <w:i/>
          <w:iCs/>
          <w:sz w:val="22"/>
          <w:szCs w:val="22"/>
        </w:rPr>
        <w:t>Acknowledgements:</w:t>
      </w:r>
      <w:r w:rsidRPr="00A16AF0">
        <w:rPr>
          <w:rFonts w:asciiTheme="minorHAnsi" w:hAnsiTheme="minorHAnsi" w:cstheme="minorHAnsi"/>
          <w:sz w:val="22"/>
          <w:szCs w:val="22"/>
        </w:rPr>
        <w:t xml:space="preserve"> This work is supported by projects 23-07850S and 21-11299S of the Czech Science Foundation (GAČR) and by the program INTER-EXCELLENCE II - Inter-COST-LUC24- No. LUC24047 of the Ministry of Education, Youth and Sports of the Czech Republic (MEYS) </w:t>
      </w:r>
    </w:p>
    <w:p w14:paraId="11A85A92" w14:textId="77777777" w:rsidR="00B82C29" w:rsidRDefault="00B82C29" w:rsidP="00B82C29">
      <w:pPr>
        <w:rPr>
          <w:rFonts w:ascii="Calibri" w:hAnsi="Calibri" w:cs="Calibri"/>
          <w:sz w:val="22"/>
          <w:szCs w:val="22"/>
        </w:rPr>
      </w:pPr>
    </w:p>
    <w:p w14:paraId="1F856FAC" w14:textId="77777777" w:rsidR="00B82C29" w:rsidRPr="00B82C29" w:rsidRDefault="00B82C29" w:rsidP="004613D5">
      <w:pPr>
        <w:spacing w:line="264" w:lineRule="auto"/>
        <w:jc w:val="center"/>
        <w:rPr>
          <w:rFonts w:ascii="Calibri" w:hAnsi="Calibri" w:cs="Calibri"/>
          <w:b/>
          <w:color w:val="000000" w:themeColor="text1"/>
        </w:rPr>
      </w:pPr>
    </w:p>
    <w:p w14:paraId="344E4C5E" w14:textId="52D88E32" w:rsidR="00FC5785" w:rsidRDefault="00FC5785">
      <w:pPr>
        <w:rPr>
          <w:rFonts w:ascii="Calibri" w:hAnsi="Calibri" w:cs="Calibri"/>
          <w:color w:val="000000" w:themeColor="text1"/>
          <w:lang w:val="it-IT"/>
        </w:rPr>
      </w:pPr>
      <w:r>
        <w:rPr>
          <w:rFonts w:ascii="Calibri" w:hAnsi="Calibri" w:cs="Calibri"/>
          <w:color w:val="000000" w:themeColor="text1"/>
          <w:lang w:val="it-IT"/>
        </w:rPr>
        <w:br w:type="page"/>
      </w:r>
    </w:p>
    <w:p w14:paraId="44313DB3" w14:textId="77777777" w:rsidR="00FC5785" w:rsidRDefault="00FC5785" w:rsidP="00FC5785">
      <w:pPr>
        <w:spacing w:before="120" w:after="200"/>
        <w:jc w:val="center"/>
        <w:rPr>
          <w:rFonts w:asciiTheme="minorHAnsi" w:hAnsiTheme="minorHAnsi" w:cstheme="minorHAnsi"/>
          <w:b/>
          <w:bCs/>
          <w:color w:val="006699"/>
          <w:sz w:val="36"/>
          <w:lang w:val="en" w:eastAsia="lt-LT"/>
        </w:rPr>
      </w:pPr>
      <w:r w:rsidRPr="00FC5785">
        <w:rPr>
          <w:rFonts w:asciiTheme="minorHAnsi" w:hAnsiTheme="minorHAnsi" w:cstheme="minorHAnsi"/>
          <w:b/>
          <w:bCs/>
          <w:color w:val="006699"/>
          <w:sz w:val="36"/>
          <w:lang w:val="en" w:eastAsia="lt-LT"/>
        </w:rPr>
        <w:lastRenderedPageBreak/>
        <w:t>Parasitology and pharmacology</w:t>
      </w:r>
    </w:p>
    <w:p w14:paraId="3775883E" w14:textId="41C64EDC" w:rsidR="00FC5785" w:rsidRDefault="00FC5785" w:rsidP="00FC5785">
      <w:pPr>
        <w:spacing w:before="120" w:after="200"/>
        <w:jc w:val="center"/>
        <w:rPr>
          <w:rFonts w:ascii="Calibri" w:hAnsi="Calibri" w:cs="Calibri"/>
          <w:b/>
          <w:color w:val="006699"/>
          <w:sz w:val="36"/>
          <w:lang w:val="en-GB"/>
        </w:rPr>
      </w:pPr>
      <w:r w:rsidRPr="003905C2">
        <w:rPr>
          <w:rFonts w:ascii="Calibri" w:hAnsi="Calibri" w:cs="Calibri"/>
          <w:b/>
          <w:color w:val="006699"/>
          <w:sz w:val="36"/>
          <w:lang w:val="en-GB"/>
        </w:rPr>
        <w:t>2024-11-2</w:t>
      </w:r>
      <w:r>
        <w:rPr>
          <w:rFonts w:ascii="Calibri" w:hAnsi="Calibri" w:cs="Calibri"/>
          <w:b/>
          <w:color w:val="006699"/>
          <w:sz w:val="36"/>
          <w:lang w:val="en-GB"/>
        </w:rPr>
        <w:t>7</w:t>
      </w:r>
    </w:p>
    <w:p w14:paraId="51FCADDC" w14:textId="739FDF20" w:rsidR="00FC5785" w:rsidRDefault="00FC5785" w:rsidP="00FC5785">
      <w:pPr>
        <w:spacing w:line="264" w:lineRule="auto"/>
        <w:rPr>
          <w:rFonts w:ascii="Calibri" w:hAnsi="Calibri" w:cs="Calibri"/>
          <w:bCs/>
          <w:color w:val="4472C4" w:themeColor="accent1"/>
          <w:sz w:val="22"/>
          <w:szCs w:val="22"/>
          <w:lang w:val="en-GB"/>
        </w:rPr>
      </w:pPr>
      <w:r w:rsidRPr="00FC5785">
        <w:rPr>
          <w:rFonts w:ascii="Calibri" w:hAnsi="Calibri" w:cs="Calibri"/>
          <w:bCs/>
          <w:color w:val="4472C4" w:themeColor="accent1"/>
          <w:sz w:val="22"/>
          <w:szCs w:val="22"/>
          <w:lang w:val="en-GB"/>
        </w:rPr>
        <w:t xml:space="preserve">DAY3: </w:t>
      </w:r>
      <w:hyperlink r:id="rId21" w:history="1">
        <w:r w:rsidRPr="00077360">
          <w:rPr>
            <w:rStyle w:val="Hyperlink"/>
            <w:rFonts w:ascii="Calibri" w:hAnsi="Calibri" w:cs="Calibri"/>
            <w:bCs/>
            <w:sz w:val="22"/>
            <w:szCs w:val="22"/>
            <w:lang w:val="en-GB"/>
          </w:rPr>
          <w:t>https://teams.microsoft.com/l/meetup-join/19%3aJdu4-YOGoTWvm2EtTXTcbi08m9LpmYFMY_vTAu_mQGU1%40thread.tacv2/1729135378158?context=%7b%22Tid%22%3a%22e787b025-3fc6-4802-874a-9c988768f892%22%2c%22Oid%22%3a%22ac391189-1971-4664-9abf-5dbf09f2a671%22%7d</w:t>
        </w:r>
      </w:hyperlink>
    </w:p>
    <w:p w14:paraId="056F8EFA" w14:textId="2DE5550D" w:rsidR="00FC5785" w:rsidRDefault="00FC5785" w:rsidP="00FC5785">
      <w:pPr>
        <w:spacing w:line="264" w:lineRule="auto"/>
        <w:rPr>
          <w:rFonts w:ascii="Calibri" w:hAnsi="Calibri" w:cs="Calibri"/>
          <w:bCs/>
          <w:color w:val="000000" w:themeColor="text1"/>
          <w:sz w:val="22"/>
          <w:szCs w:val="22"/>
          <w:lang w:val="en-GB"/>
        </w:rPr>
      </w:pPr>
      <w:r w:rsidRPr="00FC5785">
        <w:rPr>
          <w:rFonts w:ascii="Calibri" w:hAnsi="Calibri" w:cs="Calibri"/>
          <w:bCs/>
          <w:color w:val="4472C4" w:themeColor="accent1"/>
          <w:sz w:val="22"/>
          <w:szCs w:val="22"/>
          <w:lang w:val="en-GB"/>
        </w:rPr>
        <w:t xml:space="preserve"> Meeting ID: 389 260 837 739 Passcode: 72oEXE</w:t>
      </w:r>
    </w:p>
    <w:p w14:paraId="58D4030F" w14:textId="77777777" w:rsidR="000D0363" w:rsidRDefault="000D0363" w:rsidP="000D0363">
      <w:pPr>
        <w:spacing w:line="264" w:lineRule="auto"/>
        <w:jc w:val="both"/>
        <w:rPr>
          <w:rFonts w:ascii="Calibri" w:hAnsi="Calibri" w:cs="Calibri"/>
          <w:color w:val="000000" w:themeColor="text1"/>
          <w:lang w:val="it-IT"/>
        </w:rPr>
      </w:pPr>
    </w:p>
    <w:p w14:paraId="16368AF4" w14:textId="30C85134" w:rsidR="00FC5785" w:rsidRDefault="00FC5785">
      <w:pPr>
        <w:rPr>
          <w:rFonts w:ascii="Calibri" w:hAnsi="Calibri" w:cs="Calibri"/>
          <w:b/>
          <w:color w:val="006699"/>
          <w:lang w:val="en-GB"/>
        </w:rPr>
      </w:pPr>
      <w:r>
        <w:rPr>
          <w:rFonts w:ascii="Calibri" w:hAnsi="Calibri" w:cs="Calibri"/>
          <w:b/>
          <w:color w:val="006699"/>
          <w:lang w:val="en-GB"/>
        </w:rPr>
        <w:br w:type="page"/>
      </w:r>
    </w:p>
    <w:p w14:paraId="2FE435CD" w14:textId="77777777" w:rsidR="00FC5785" w:rsidRDefault="00FC5785" w:rsidP="00FC5785">
      <w:pPr>
        <w:spacing w:line="264" w:lineRule="auto"/>
        <w:jc w:val="both"/>
        <w:rPr>
          <w:rFonts w:ascii="Calibri" w:hAnsi="Calibri" w:cs="Calibri"/>
          <w:b/>
          <w:bCs/>
          <w:color w:val="000000" w:themeColor="text1"/>
          <w:lang w:val="en-GB"/>
        </w:rPr>
      </w:pPr>
    </w:p>
    <w:p w14:paraId="70B2E2F4" w14:textId="7F031E25" w:rsidR="00FC5785" w:rsidRDefault="00FC5785" w:rsidP="00FC5785">
      <w:pPr>
        <w:jc w:val="center"/>
        <w:rPr>
          <w:rFonts w:ascii="Calibri" w:hAnsi="Calibri" w:cs="Calibri"/>
          <w:b/>
          <w:bCs/>
          <w:color w:val="2E74B5" w:themeColor="accent5" w:themeShade="BF"/>
          <w:lang w:val="en-GB"/>
        </w:rPr>
      </w:pPr>
      <w:r w:rsidRPr="00FC5785">
        <w:rPr>
          <w:rFonts w:ascii="Calibri" w:hAnsi="Calibri" w:cs="Calibri"/>
          <w:b/>
          <w:bCs/>
          <w:color w:val="2E74B5" w:themeColor="accent5" w:themeShade="BF"/>
          <w:lang w:val="en-GB"/>
        </w:rPr>
        <w:t>Recent Structural Optimizations of Pyrimido[5,4-d]pyrimidines Exhibiting Antileishmanial Activity</w:t>
      </w:r>
    </w:p>
    <w:p w14:paraId="1708FC20" w14:textId="77777777" w:rsidR="00FC5785" w:rsidRPr="00FC5785" w:rsidRDefault="00FC5785" w:rsidP="00FC5785">
      <w:pPr>
        <w:jc w:val="center"/>
        <w:rPr>
          <w:rFonts w:ascii="Calibri" w:hAnsi="Calibri" w:cs="Calibri"/>
          <w:color w:val="000000"/>
          <w:sz w:val="22"/>
          <w:szCs w:val="22"/>
          <w:lang w:val="it-IT"/>
        </w:rPr>
      </w:pPr>
    </w:p>
    <w:p w14:paraId="1D4D2944" w14:textId="77777777" w:rsidR="00FC5785" w:rsidRDefault="00FC5785" w:rsidP="00FC5785">
      <w:pPr>
        <w:jc w:val="center"/>
        <w:rPr>
          <w:rFonts w:ascii="Calibri" w:hAnsi="Calibri" w:cs="Calibri"/>
          <w:color w:val="000000"/>
          <w:vertAlign w:val="superscript"/>
          <w:lang w:val="pt-PT"/>
        </w:rPr>
      </w:pPr>
      <w:r w:rsidRPr="00D8290C">
        <w:rPr>
          <w:rFonts w:ascii="Calibri" w:hAnsi="Calibri" w:cs="Calibri"/>
          <w:color w:val="000000"/>
          <w:u w:val="single"/>
          <w:lang w:val="pt-PT"/>
        </w:rPr>
        <w:t>André Lopes</w:t>
      </w:r>
      <w:r>
        <w:rPr>
          <w:rFonts w:ascii="Calibri" w:hAnsi="Calibri" w:cs="Calibri"/>
          <w:color w:val="000000"/>
          <w:u w:val="single"/>
          <w:lang w:val="pt-PT"/>
        </w:rPr>
        <w:t>,</w:t>
      </w:r>
      <w:r w:rsidRPr="009B6A9A">
        <w:rPr>
          <w:rFonts w:ascii="Calibri" w:hAnsi="Calibri" w:cs="Calibri"/>
          <w:color w:val="000000"/>
          <w:vertAlign w:val="superscript"/>
          <w:lang w:val="pt-PT"/>
        </w:rPr>
        <w:t>a,b</w:t>
      </w:r>
      <w:r w:rsidRPr="009B6A9A">
        <w:rPr>
          <w:rFonts w:ascii="Calibri" w:hAnsi="Calibri" w:cs="Calibri"/>
          <w:color w:val="000000"/>
          <w:lang w:val="pt-PT"/>
        </w:rPr>
        <w:t xml:space="preserve"> Sofia </w:t>
      </w:r>
      <w:r w:rsidRPr="00D8290C">
        <w:rPr>
          <w:rFonts w:ascii="Calibri" w:hAnsi="Calibri" w:cs="Calibri"/>
          <w:color w:val="000000"/>
          <w:lang w:val="pt-PT"/>
        </w:rPr>
        <w:t>Teixeira</w:t>
      </w:r>
      <w:r>
        <w:rPr>
          <w:rFonts w:ascii="Calibri" w:hAnsi="Calibri" w:cs="Calibri"/>
          <w:color w:val="000000"/>
          <w:lang w:val="pt-PT"/>
        </w:rPr>
        <w:t>,</w:t>
      </w:r>
      <w:r>
        <w:rPr>
          <w:rFonts w:ascii="Calibri" w:hAnsi="Calibri" w:cs="Calibri"/>
          <w:color w:val="000000"/>
          <w:vertAlign w:val="superscript"/>
          <w:lang w:val="pt-PT"/>
        </w:rPr>
        <w:t>a</w:t>
      </w:r>
      <w:r w:rsidRPr="00D8290C">
        <w:rPr>
          <w:rFonts w:ascii="Calibri" w:hAnsi="Calibri" w:cs="Calibri"/>
          <w:color w:val="000000"/>
          <w:lang w:val="pt-PT"/>
        </w:rPr>
        <w:t xml:space="preserve"> Nuno Santarém</w:t>
      </w:r>
      <w:r>
        <w:rPr>
          <w:rFonts w:ascii="Calibri" w:hAnsi="Calibri" w:cs="Calibri"/>
          <w:color w:val="000000"/>
          <w:lang w:val="pt-PT"/>
        </w:rPr>
        <w:t>,</w:t>
      </w:r>
      <w:r>
        <w:rPr>
          <w:rFonts w:ascii="Calibri" w:hAnsi="Calibri" w:cs="Calibri"/>
          <w:color w:val="000000"/>
          <w:vertAlign w:val="superscript"/>
          <w:lang w:val="pt-PT"/>
        </w:rPr>
        <w:t>b</w:t>
      </w:r>
      <w:r w:rsidRPr="00D8290C">
        <w:rPr>
          <w:rFonts w:ascii="Calibri" w:hAnsi="Calibri" w:cs="Calibri"/>
          <w:color w:val="000000"/>
          <w:lang w:val="pt-PT"/>
        </w:rPr>
        <w:t xml:space="preserve"> Alessandro Greco</w:t>
      </w:r>
      <w:r>
        <w:rPr>
          <w:rFonts w:ascii="Calibri" w:hAnsi="Calibri" w:cs="Calibri"/>
          <w:color w:val="000000"/>
          <w:lang w:val="pt-PT"/>
        </w:rPr>
        <w:t>,</w:t>
      </w:r>
      <w:r>
        <w:rPr>
          <w:rFonts w:ascii="Calibri" w:hAnsi="Calibri" w:cs="Calibri"/>
          <w:color w:val="000000"/>
          <w:vertAlign w:val="superscript"/>
          <w:lang w:val="pt-PT"/>
        </w:rPr>
        <w:t>c</w:t>
      </w:r>
      <w:r w:rsidRPr="00D8290C">
        <w:rPr>
          <w:rFonts w:ascii="Calibri" w:hAnsi="Calibri" w:cs="Calibri"/>
          <w:color w:val="000000"/>
          <w:lang w:val="pt-PT"/>
        </w:rPr>
        <w:t xml:space="preserve"> Oliver Keminer</w:t>
      </w:r>
      <w:r>
        <w:rPr>
          <w:rFonts w:ascii="Calibri" w:hAnsi="Calibri" w:cs="Calibri"/>
          <w:color w:val="000000"/>
          <w:lang w:val="pt-PT"/>
        </w:rPr>
        <w:t>,</w:t>
      </w:r>
      <w:r>
        <w:rPr>
          <w:rFonts w:ascii="Calibri" w:hAnsi="Calibri" w:cs="Calibri"/>
          <w:color w:val="000000"/>
          <w:vertAlign w:val="superscript"/>
          <w:lang w:val="pt-PT"/>
        </w:rPr>
        <w:t>d</w:t>
      </w:r>
      <w:r w:rsidRPr="00D8290C">
        <w:rPr>
          <w:rFonts w:ascii="Calibri" w:hAnsi="Calibri" w:cs="Calibri"/>
          <w:color w:val="000000"/>
          <w:vertAlign w:val="superscript"/>
          <w:lang w:val="pt-PT"/>
        </w:rPr>
        <w:t>,</w:t>
      </w:r>
      <w:r>
        <w:rPr>
          <w:rFonts w:ascii="Calibri" w:hAnsi="Calibri" w:cs="Calibri"/>
          <w:color w:val="000000"/>
          <w:vertAlign w:val="superscript"/>
          <w:lang w:val="pt-PT"/>
        </w:rPr>
        <w:t>e</w:t>
      </w:r>
      <w:r w:rsidRPr="00D8290C">
        <w:rPr>
          <w:rFonts w:ascii="Calibri" w:hAnsi="Calibri" w:cs="Calibri"/>
          <w:color w:val="000000"/>
          <w:lang w:val="pt-PT"/>
        </w:rPr>
        <w:t xml:space="preserve"> Sheraz Gul</w:t>
      </w:r>
      <w:r>
        <w:rPr>
          <w:rFonts w:ascii="Calibri" w:hAnsi="Calibri" w:cs="Calibri"/>
          <w:color w:val="000000"/>
          <w:lang w:val="pt-PT"/>
        </w:rPr>
        <w:t>,</w:t>
      </w:r>
      <w:r>
        <w:rPr>
          <w:rFonts w:ascii="Calibri" w:hAnsi="Calibri" w:cs="Calibri"/>
          <w:color w:val="000000"/>
          <w:vertAlign w:val="superscript"/>
          <w:lang w:val="pt-PT"/>
        </w:rPr>
        <w:t>d</w:t>
      </w:r>
      <w:r w:rsidRPr="00D8290C">
        <w:rPr>
          <w:rFonts w:ascii="Calibri" w:hAnsi="Calibri" w:cs="Calibri"/>
          <w:color w:val="000000"/>
          <w:vertAlign w:val="superscript"/>
          <w:lang w:val="pt-PT"/>
        </w:rPr>
        <w:t>,</w:t>
      </w:r>
      <w:r>
        <w:rPr>
          <w:rFonts w:ascii="Calibri" w:hAnsi="Calibri" w:cs="Calibri"/>
          <w:color w:val="000000"/>
          <w:vertAlign w:val="superscript"/>
          <w:lang w:val="pt-PT"/>
        </w:rPr>
        <w:t>e</w:t>
      </w:r>
      <w:r w:rsidRPr="00D8290C">
        <w:rPr>
          <w:rFonts w:ascii="Calibri" w:hAnsi="Calibri" w:cs="Calibri"/>
          <w:color w:val="000000"/>
          <w:lang w:val="pt-PT"/>
        </w:rPr>
        <w:t xml:space="preserve"> Anabela Cordeiro-da-Silva</w:t>
      </w:r>
      <w:r>
        <w:rPr>
          <w:rFonts w:ascii="Calibri" w:hAnsi="Calibri" w:cs="Calibri"/>
          <w:color w:val="000000"/>
          <w:lang w:val="pt-PT"/>
        </w:rPr>
        <w:t>,</w:t>
      </w:r>
      <w:r>
        <w:rPr>
          <w:rFonts w:ascii="Calibri" w:hAnsi="Calibri" w:cs="Calibri"/>
          <w:color w:val="000000"/>
          <w:vertAlign w:val="superscript"/>
          <w:lang w:val="pt-PT"/>
        </w:rPr>
        <w:t>b</w:t>
      </w:r>
      <w:r w:rsidRPr="00D8290C">
        <w:rPr>
          <w:rFonts w:ascii="Calibri" w:hAnsi="Calibri" w:cs="Calibri"/>
          <w:color w:val="000000"/>
          <w:lang w:val="pt-PT"/>
        </w:rPr>
        <w:t xml:space="preserve"> Maria Alice Carvalho</w:t>
      </w:r>
      <w:r>
        <w:rPr>
          <w:rFonts w:ascii="Calibri" w:hAnsi="Calibri" w:cs="Calibri"/>
          <w:color w:val="000000"/>
          <w:vertAlign w:val="superscript"/>
          <w:lang w:val="pt-PT"/>
        </w:rPr>
        <w:t>a</w:t>
      </w:r>
    </w:p>
    <w:p w14:paraId="3434C56F" w14:textId="77777777" w:rsidR="00FC5785" w:rsidRPr="00D8290C" w:rsidRDefault="00FC5785" w:rsidP="00FC5785">
      <w:pPr>
        <w:jc w:val="center"/>
        <w:rPr>
          <w:rFonts w:ascii="Calibri" w:hAnsi="Calibri" w:cs="Calibri"/>
          <w:color w:val="000000"/>
          <w:u w:val="single"/>
          <w:vertAlign w:val="superscript"/>
          <w:lang w:val="pt-PT"/>
        </w:rPr>
      </w:pPr>
    </w:p>
    <w:p w14:paraId="678701D9" w14:textId="77777777" w:rsidR="00FC5785" w:rsidRPr="00B82C29" w:rsidRDefault="00FC5785" w:rsidP="00FC5785">
      <w:pPr>
        <w:jc w:val="center"/>
        <w:rPr>
          <w:rFonts w:ascii="Calibri" w:hAnsi="Calibri" w:cs="Calibri"/>
          <w:color w:val="000000"/>
          <w:sz w:val="22"/>
          <w:szCs w:val="22"/>
          <w:lang w:val="pt-PT"/>
        </w:rPr>
      </w:pPr>
      <w:r w:rsidRPr="00B82C29">
        <w:rPr>
          <w:rFonts w:ascii="Calibri" w:hAnsi="Calibri" w:cs="Calibri"/>
          <w:color w:val="000000"/>
          <w:sz w:val="22"/>
          <w:szCs w:val="22"/>
          <w:vertAlign w:val="superscript"/>
          <w:lang w:val="pt-PT"/>
        </w:rPr>
        <w:t>a</w:t>
      </w:r>
      <w:r w:rsidRPr="00B82C29">
        <w:rPr>
          <w:rFonts w:ascii="Calibri" w:hAnsi="Calibri" w:cs="Calibri"/>
          <w:color w:val="000000"/>
          <w:sz w:val="22"/>
          <w:szCs w:val="22"/>
          <w:lang w:val="pt-PT"/>
        </w:rPr>
        <w:t xml:space="preserve"> Centre of Chemistry of University of Minho, Campus de Gualtar, Universidade do Minho, 4710-057 Braga, Portugal; </w:t>
      </w:r>
      <w:r w:rsidRPr="00B82C29">
        <w:rPr>
          <w:rFonts w:ascii="Calibri" w:hAnsi="Calibri" w:cs="Calibri"/>
          <w:color w:val="000000"/>
          <w:sz w:val="22"/>
          <w:szCs w:val="22"/>
          <w:vertAlign w:val="superscript"/>
          <w:lang w:val="pt-PT"/>
        </w:rPr>
        <w:t>b</w:t>
      </w:r>
      <w:r w:rsidRPr="00B82C29">
        <w:rPr>
          <w:rFonts w:ascii="Calibri" w:hAnsi="Calibri" w:cs="Calibri"/>
          <w:color w:val="000000"/>
          <w:sz w:val="22"/>
          <w:szCs w:val="22"/>
          <w:lang w:val="pt-PT"/>
        </w:rPr>
        <w:t xml:space="preserve"> Instituto de Investigação e Inovação em Saúde, Universidade do Porto and Institute for Molecular and Cell Biology, University of Porto, 4150-180, Porto, Portugal. Departamento de Ciências Biológicas, Faculdade de Farmácia da Universidade do Porto (FFUP), Porto, Portugal;</w:t>
      </w:r>
      <w:r w:rsidRPr="00B82C29">
        <w:rPr>
          <w:rFonts w:ascii="Calibri" w:hAnsi="Calibri" w:cs="Calibri"/>
          <w:color w:val="000000"/>
          <w:sz w:val="22"/>
          <w:szCs w:val="22"/>
          <w:vertAlign w:val="superscript"/>
          <w:lang w:val="pt-PT"/>
        </w:rPr>
        <w:t xml:space="preserve"> c </w:t>
      </w:r>
      <w:r w:rsidRPr="00B82C29">
        <w:rPr>
          <w:rFonts w:ascii="Calibri" w:hAnsi="Calibri" w:cs="Calibri"/>
          <w:color w:val="000000"/>
          <w:sz w:val="22"/>
          <w:szCs w:val="22"/>
          <w:lang w:val="pt-PT"/>
        </w:rPr>
        <w:t>Department of Pharmacy, University of Pisa, Via Bonanno 6, 56126 Pisa, Italy;</w:t>
      </w:r>
      <w:r w:rsidRPr="00B82C29">
        <w:rPr>
          <w:rFonts w:ascii="Calibri" w:hAnsi="Calibri" w:cs="Calibri"/>
          <w:color w:val="000000"/>
          <w:sz w:val="22"/>
          <w:szCs w:val="22"/>
          <w:vertAlign w:val="superscript"/>
          <w:lang w:val="pt-PT"/>
        </w:rPr>
        <w:t xml:space="preserve"> d</w:t>
      </w:r>
      <w:r w:rsidRPr="00B82C29">
        <w:rPr>
          <w:rFonts w:ascii="Calibri" w:hAnsi="Calibri" w:cs="Calibri"/>
          <w:b/>
          <w:bCs/>
          <w:color w:val="000000"/>
          <w:sz w:val="22"/>
          <w:szCs w:val="22"/>
          <w:vertAlign w:val="superscript"/>
          <w:lang w:val="pt-PT"/>
        </w:rPr>
        <w:t xml:space="preserve"> </w:t>
      </w:r>
      <w:r w:rsidRPr="00B82C29">
        <w:rPr>
          <w:rFonts w:ascii="Calibri" w:hAnsi="Calibri" w:cs="Calibri"/>
          <w:color w:val="000000"/>
          <w:sz w:val="22"/>
          <w:szCs w:val="22"/>
          <w:lang w:val="pt-PT"/>
        </w:rPr>
        <w:t xml:space="preserve">Fraunhofer Institute for Translational Medicine and Pharmacology ITMP, Hamburg, Germany; </w:t>
      </w:r>
      <w:r w:rsidRPr="00B82C29">
        <w:rPr>
          <w:rFonts w:ascii="Calibri" w:hAnsi="Calibri" w:cs="Calibri"/>
          <w:color w:val="000000"/>
          <w:sz w:val="22"/>
          <w:szCs w:val="22"/>
          <w:vertAlign w:val="superscript"/>
          <w:lang w:val="pt-PT"/>
        </w:rPr>
        <w:t>e</w:t>
      </w:r>
      <w:r w:rsidRPr="00B82C29">
        <w:rPr>
          <w:rFonts w:ascii="Calibri" w:hAnsi="Calibri" w:cs="Calibri"/>
          <w:b/>
          <w:bCs/>
          <w:color w:val="000000"/>
          <w:sz w:val="22"/>
          <w:szCs w:val="22"/>
          <w:vertAlign w:val="superscript"/>
          <w:lang w:val="pt-PT"/>
        </w:rPr>
        <w:t xml:space="preserve"> </w:t>
      </w:r>
      <w:r w:rsidRPr="00B82C29">
        <w:rPr>
          <w:rFonts w:ascii="Calibri" w:hAnsi="Calibri" w:cs="Calibri"/>
          <w:color w:val="000000"/>
          <w:sz w:val="22"/>
          <w:szCs w:val="22"/>
          <w:lang w:val="pt-PT"/>
        </w:rPr>
        <w:t>Fraunhofer Cluster of Excellence for Immune-Mediated Diseases CIMD, Hamburg, Germany.</w:t>
      </w:r>
    </w:p>
    <w:p w14:paraId="415EC975" w14:textId="77777777" w:rsidR="00FC5785" w:rsidRPr="00B82C29" w:rsidRDefault="00FC5785" w:rsidP="00FC5785">
      <w:pPr>
        <w:jc w:val="center"/>
        <w:rPr>
          <w:rFonts w:ascii="Calibri" w:hAnsi="Calibri" w:cs="Calibri"/>
          <w:color w:val="000000"/>
          <w:sz w:val="22"/>
          <w:szCs w:val="22"/>
          <w:lang w:val="en-GB"/>
        </w:rPr>
      </w:pPr>
      <w:r w:rsidRPr="00B82C29">
        <w:rPr>
          <w:rFonts w:ascii="Calibri" w:hAnsi="Calibri" w:cs="Calibri"/>
          <w:color w:val="000000"/>
          <w:sz w:val="22"/>
          <w:szCs w:val="22"/>
        </w:rPr>
        <w:t>pg33722@uminho.pt</w:t>
      </w:r>
    </w:p>
    <w:p w14:paraId="6C636F5C" w14:textId="77777777" w:rsidR="00FC5785" w:rsidRPr="00B82C29" w:rsidRDefault="00FC5785" w:rsidP="00FC5785">
      <w:pPr>
        <w:jc w:val="both"/>
        <w:rPr>
          <w:rFonts w:ascii="Calibri" w:hAnsi="Calibri" w:cs="Calibri"/>
          <w:sz w:val="22"/>
          <w:szCs w:val="22"/>
        </w:rPr>
      </w:pPr>
    </w:p>
    <w:p w14:paraId="6F97E738" w14:textId="77777777" w:rsidR="00FC5785" w:rsidRDefault="00FC5785" w:rsidP="00FC5785">
      <w:pPr>
        <w:jc w:val="both"/>
        <w:rPr>
          <w:rFonts w:ascii="Calibri" w:hAnsi="Calibri" w:cs="Calibri"/>
        </w:rPr>
      </w:pPr>
      <w:r w:rsidRPr="00F77832">
        <w:rPr>
          <w:rFonts w:ascii="Calibri" w:hAnsi="Calibri" w:cs="Calibri"/>
        </w:rPr>
        <w:t>Leishmaniasis, a neglected tropical disease caused by vector-borne protozoan parasites</w:t>
      </w:r>
      <w:r w:rsidRPr="00073F08">
        <w:rPr>
          <w:rFonts w:ascii="Calibri" w:hAnsi="Calibri" w:cs="Calibri"/>
          <w:vertAlign w:val="superscript"/>
        </w:rPr>
        <w:t>1</w:t>
      </w:r>
      <w:r w:rsidRPr="00F77832">
        <w:rPr>
          <w:rFonts w:ascii="Calibri" w:hAnsi="Calibri" w:cs="Calibri"/>
        </w:rPr>
        <w:t>, represents an increasing health challenge in developing nations.</w:t>
      </w:r>
      <w:r>
        <w:rPr>
          <w:rFonts w:ascii="Calibri" w:hAnsi="Calibri" w:cs="Calibri"/>
        </w:rPr>
        <w:t xml:space="preserve"> </w:t>
      </w:r>
      <w:r w:rsidRPr="00996F18">
        <w:rPr>
          <w:rFonts w:ascii="Calibri" w:hAnsi="Calibri" w:cs="Calibri"/>
        </w:rPr>
        <w:t xml:space="preserve">Current treatments are hindered by </w:t>
      </w:r>
      <w:r>
        <w:rPr>
          <w:rFonts w:ascii="Calibri" w:hAnsi="Calibri" w:cs="Calibri"/>
        </w:rPr>
        <w:t>p</w:t>
      </w:r>
      <w:r w:rsidRPr="00F77832">
        <w:rPr>
          <w:rFonts w:ascii="Calibri" w:hAnsi="Calibri" w:cs="Calibri"/>
        </w:rPr>
        <w:t xml:space="preserve">oor efficacy, severe side effects, and </w:t>
      </w:r>
      <w:r>
        <w:t>increasing</w:t>
      </w:r>
      <w:r w:rsidRPr="00F77832">
        <w:rPr>
          <w:rFonts w:ascii="Calibri" w:hAnsi="Calibri" w:cs="Calibri"/>
        </w:rPr>
        <w:t xml:space="preserve"> drug resistance</w:t>
      </w:r>
      <w:r w:rsidRPr="00073F08">
        <w:rPr>
          <w:rFonts w:ascii="Calibri" w:hAnsi="Calibri" w:cs="Calibri"/>
          <w:vertAlign w:val="superscript"/>
        </w:rPr>
        <w:t>2</w:t>
      </w:r>
      <w:r w:rsidRPr="00996F18">
        <w:rPr>
          <w:rFonts w:ascii="Calibri" w:hAnsi="Calibri" w:cs="Calibri"/>
        </w:rPr>
        <w:t>, underscoring the urgent need for new therapeutic options</w:t>
      </w:r>
      <w:r w:rsidRPr="00F77832">
        <w:rPr>
          <w:rFonts w:ascii="Calibri" w:hAnsi="Calibri" w:cs="Calibri"/>
        </w:rPr>
        <w:t xml:space="preserve">. </w:t>
      </w:r>
      <w:r>
        <w:rPr>
          <w:rFonts w:ascii="Calibri" w:hAnsi="Calibri" w:cs="Calibri"/>
        </w:rPr>
        <w:t>R</w:t>
      </w:r>
      <w:r w:rsidRPr="00F77832">
        <w:rPr>
          <w:rFonts w:ascii="Calibri" w:hAnsi="Calibri" w:cs="Calibri"/>
        </w:rPr>
        <w:t xml:space="preserve">ecently, pyrimidopyrimidine-based compounds have </w:t>
      </w:r>
      <w:r>
        <w:rPr>
          <w:rFonts w:ascii="Calibri" w:hAnsi="Calibri" w:cs="Calibri"/>
        </w:rPr>
        <w:t>emerged as</w:t>
      </w:r>
      <w:r w:rsidRPr="00F77832">
        <w:rPr>
          <w:rFonts w:ascii="Calibri" w:hAnsi="Calibri" w:cs="Calibri"/>
        </w:rPr>
        <w:t xml:space="preserve"> promis</w:t>
      </w:r>
      <w:r>
        <w:rPr>
          <w:rFonts w:ascii="Calibri" w:hAnsi="Calibri" w:cs="Calibri"/>
        </w:rPr>
        <w:t>ing candidates</w:t>
      </w:r>
      <w:r w:rsidRPr="00F77832">
        <w:rPr>
          <w:rFonts w:ascii="Calibri" w:hAnsi="Calibri" w:cs="Calibri"/>
        </w:rPr>
        <w:t xml:space="preserve"> against </w:t>
      </w:r>
      <w:r w:rsidRPr="00EC0289">
        <w:rPr>
          <w:rFonts w:ascii="Calibri" w:hAnsi="Calibri" w:cs="Calibri"/>
          <w:i/>
          <w:iCs/>
        </w:rPr>
        <w:t>Leishmania</w:t>
      </w:r>
      <w:r w:rsidRPr="00F77832">
        <w:rPr>
          <w:rFonts w:ascii="Calibri" w:hAnsi="Calibri" w:cs="Calibri"/>
        </w:rPr>
        <w:t xml:space="preserve"> parasites</w:t>
      </w:r>
      <w:r w:rsidRPr="00073F08">
        <w:rPr>
          <w:rFonts w:ascii="Calibri" w:hAnsi="Calibri" w:cs="Calibri"/>
          <w:vertAlign w:val="superscript"/>
        </w:rPr>
        <w:t>3,4</w:t>
      </w:r>
      <w:r w:rsidRPr="00F77832">
        <w:rPr>
          <w:rFonts w:ascii="Calibri" w:hAnsi="Calibri" w:cs="Calibri"/>
        </w:rPr>
        <w:t xml:space="preserve">. </w:t>
      </w:r>
    </w:p>
    <w:p w14:paraId="318E4F53" w14:textId="77777777" w:rsidR="00FC5785" w:rsidRDefault="00FC5785" w:rsidP="00FC5785">
      <w:pPr>
        <w:jc w:val="both"/>
        <w:rPr>
          <w:rFonts w:ascii="Calibri" w:hAnsi="Calibri" w:cs="Calibri"/>
        </w:rPr>
      </w:pPr>
      <w:r w:rsidRPr="00F77832">
        <w:rPr>
          <w:rFonts w:ascii="Calibri" w:hAnsi="Calibri" w:cs="Calibri"/>
        </w:rPr>
        <w:t xml:space="preserve">In this study, we </w:t>
      </w:r>
      <w:r>
        <w:rPr>
          <w:rFonts w:ascii="Calibri" w:hAnsi="Calibri" w:cs="Calibri"/>
        </w:rPr>
        <w:t>optimised</w:t>
      </w:r>
      <w:r w:rsidRPr="00F77832">
        <w:rPr>
          <w:rFonts w:ascii="Calibri" w:hAnsi="Calibri" w:cs="Calibri"/>
        </w:rPr>
        <w:t xml:space="preserve"> new pyrimidopyrimidine-based derivatives </w:t>
      </w:r>
      <w:r>
        <w:rPr>
          <w:rFonts w:ascii="Calibri" w:hAnsi="Calibri" w:cs="Calibri"/>
        </w:rPr>
        <w:t xml:space="preserve">for activity </w:t>
      </w:r>
      <w:r w:rsidRPr="00F77832">
        <w:rPr>
          <w:rFonts w:ascii="Calibri" w:hAnsi="Calibri" w:cs="Calibri"/>
        </w:rPr>
        <w:t xml:space="preserve">against </w:t>
      </w:r>
      <w:r w:rsidRPr="00F07591">
        <w:rPr>
          <w:rFonts w:ascii="Calibri" w:hAnsi="Calibri" w:cs="Calibri"/>
          <w:i/>
          <w:iCs/>
        </w:rPr>
        <w:t>L. infantum</w:t>
      </w:r>
      <w:r w:rsidRPr="00F77832">
        <w:rPr>
          <w:rFonts w:ascii="Calibri" w:hAnsi="Calibri" w:cs="Calibri"/>
        </w:rPr>
        <w:t xml:space="preserve"> promastigotes and intracellular amastigotes. Cytotoxicity was assessed using the THP1 cell line, and early ADME-Tox studies were </w:t>
      </w:r>
      <w:r>
        <w:rPr>
          <w:rFonts w:ascii="Calibri" w:hAnsi="Calibri" w:cs="Calibri"/>
        </w:rPr>
        <w:t>performed</w:t>
      </w:r>
      <w:r w:rsidRPr="00F77832">
        <w:rPr>
          <w:rFonts w:ascii="Calibri" w:hAnsi="Calibri" w:cs="Calibri"/>
        </w:rPr>
        <w:t xml:space="preserve"> on selected compounds. </w:t>
      </w:r>
      <w:r w:rsidRPr="00053496">
        <w:rPr>
          <w:rFonts w:ascii="Calibri" w:hAnsi="Calibri" w:cs="Calibri"/>
        </w:rPr>
        <w:t xml:space="preserve">The two most </w:t>
      </w:r>
      <w:r w:rsidRPr="00996F18">
        <w:rPr>
          <w:rFonts w:ascii="Calibri" w:hAnsi="Calibri" w:cs="Calibri"/>
        </w:rPr>
        <w:t xml:space="preserve">potent derivatives </w:t>
      </w:r>
      <w:r w:rsidRPr="00053496">
        <w:rPr>
          <w:rFonts w:ascii="Calibri" w:hAnsi="Calibri" w:cs="Calibri"/>
        </w:rPr>
        <w:t xml:space="preserve">demonstrated no toxicity </w:t>
      </w:r>
      <w:r>
        <w:rPr>
          <w:rFonts w:ascii="Calibri" w:hAnsi="Calibri" w:cs="Calibri"/>
        </w:rPr>
        <w:t xml:space="preserve">against THP1 cell line, </w:t>
      </w:r>
      <w:r w:rsidRPr="00053496">
        <w:rPr>
          <w:rFonts w:ascii="Calibri" w:hAnsi="Calibri" w:cs="Calibri"/>
        </w:rPr>
        <w:t>exhibited anti</w:t>
      </w:r>
      <w:r>
        <w:rPr>
          <w:rFonts w:ascii="Calibri" w:hAnsi="Calibri" w:cs="Calibri"/>
        </w:rPr>
        <w:t>-a</w:t>
      </w:r>
      <w:r w:rsidRPr="00053496">
        <w:rPr>
          <w:rFonts w:ascii="Calibri" w:hAnsi="Calibri" w:cs="Calibri"/>
        </w:rPr>
        <w:t>mastigote IC</w:t>
      </w:r>
      <w:r w:rsidRPr="00053496">
        <w:rPr>
          <w:rFonts w:ascii="Calibri" w:hAnsi="Calibri" w:cs="Calibri"/>
          <w:vertAlign w:val="subscript"/>
        </w:rPr>
        <w:t>50</w:t>
      </w:r>
      <w:r w:rsidRPr="00053496">
        <w:rPr>
          <w:rFonts w:ascii="Calibri" w:hAnsi="Calibri" w:cs="Calibri"/>
        </w:rPr>
        <w:t xml:space="preserve"> values below 5 µM</w:t>
      </w:r>
      <w:r>
        <w:rPr>
          <w:rFonts w:ascii="Calibri" w:hAnsi="Calibri" w:cs="Calibri"/>
        </w:rPr>
        <w:t xml:space="preserve"> and </w:t>
      </w:r>
      <w:r w:rsidRPr="00053496">
        <w:rPr>
          <w:rFonts w:ascii="Calibri" w:hAnsi="Calibri" w:cs="Calibri"/>
        </w:rPr>
        <w:t>selective indices greater than 32.</w:t>
      </w:r>
      <w:r>
        <w:rPr>
          <w:rFonts w:ascii="Calibri" w:hAnsi="Calibri" w:cs="Calibri"/>
        </w:rPr>
        <w:t xml:space="preserve"> E</w:t>
      </w:r>
      <w:r w:rsidRPr="003C10AD">
        <w:rPr>
          <w:rFonts w:ascii="Calibri" w:hAnsi="Calibri" w:cs="Calibri"/>
        </w:rPr>
        <w:t xml:space="preserve">arly </w:t>
      </w:r>
      <w:r w:rsidRPr="00EC0289">
        <w:rPr>
          <w:rFonts w:ascii="Calibri" w:hAnsi="Calibri" w:cs="Calibri"/>
          <w:i/>
          <w:iCs/>
        </w:rPr>
        <w:t>in vitro</w:t>
      </w:r>
      <w:r w:rsidRPr="003C10AD">
        <w:rPr>
          <w:rFonts w:ascii="Calibri" w:hAnsi="Calibri" w:cs="Calibri"/>
        </w:rPr>
        <w:t xml:space="preserve"> ADME-Tox evaluation</w:t>
      </w:r>
      <w:r>
        <w:rPr>
          <w:rFonts w:ascii="Calibri" w:hAnsi="Calibri" w:cs="Calibri"/>
        </w:rPr>
        <w:t>s</w:t>
      </w:r>
      <w:r w:rsidRPr="003C10AD">
        <w:rPr>
          <w:rFonts w:ascii="Calibri" w:hAnsi="Calibri" w:cs="Calibri"/>
        </w:rPr>
        <w:t xml:space="preserve"> </w:t>
      </w:r>
      <w:r w:rsidRPr="00FD5873">
        <w:rPr>
          <w:rFonts w:ascii="Calibri" w:hAnsi="Calibri" w:cs="Calibri"/>
        </w:rPr>
        <w:t xml:space="preserve">revealed a </w:t>
      </w:r>
      <w:r>
        <w:rPr>
          <w:rFonts w:ascii="Calibri" w:hAnsi="Calibri" w:cs="Calibri"/>
        </w:rPr>
        <w:t>favourable</w:t>
      </w:r>
      <w:r w:rsidRPr="00FD5873">
        <w:rPr>
          <w:rFonts w:ascii="Calibri" w:hAnsi="Calibri" w:cs="Calibri"/>
        </w:rPr>
        <w:t xml:space="preserve"> </w:t>
      </w:r>
      <w:r w:rsidRPr="003C10AD">
        <w:rPr>
          <w:rFonts w:ascii="Calibri" w:hAnsi="Calibri" w:cs="Calibri"/>
        </w:rPr>
        <w:t>safety profile</w:t>
      </w:r>
      <w:r>
        <w:rPr>
          <w:rFonts w:ascii="Calibri" w:hAnsi="Calibri" w:cs="Calibri"/>
        </w:rPr>
        <w:t xml:space="preserve"> for these compounds</w:t>
      </w:r>
      <w:r w:rsidRPr="003C10AD">
        <w:rPr>
          <w:rFonts w:ascii="Calibri" w:hAnsi="Calibri" w:cs="Calibri"/>
        </w:rPr>
        <w:t xml:space="preserve">. </w:t>
      </w:r>
    </w:p>
    <w:p w14:paraId="3B85DFEB" w14:textId="77777777" w:rsidR="00FC5785" w:rsidRPr="00EC0289" w:rsidRDefault="00FC5785" w:rsidP="00FC5785">
      <w:pPr>
        <w:pStyle w:val="NormalWeb"/>
        <w:jc w:val="both"/>
        <w:rPr>
          <w:rFonts w:asciiTheme="minorHAnsi" w:hAnsiTheme="minorHAnsi" w:cstheme="minorHAnsi"/>
        </w:rPr>
      </w:pPr>
      <w:r w:rsidRPr="00EC0289">
        <w:rPr>
          <w:rFonts w:asciiTheme="minorHAnsi" w:hAnsiTheme="minorHAnsi" w:cstheme="minorHAnsi"/>
        </w:rPr>
        <w:t>The biological results and structure-activity relationship (SAR) analyses will be presented and discussed. Our findings highlight a promising hit compound that can be further optimized to enhance solubility and improve the selectivity index, paving the way for more effective and safer treatments for leishmaniasis.</w:t>
      </w:r>
    </w:p>
    <w:p w14:paraId="19EC2020" w14:textId="77777777" w:rsidR="00FC5785" w:rsidRDefault="00FC5785" w:rsidP="00FC5785">
      <w:pPr>
        <w:rPr>
          <w:rFonts w:ascii="Calibri" w:hAnsi="Calibri" w:cs="Calibri"/>
          <w:b/>
          <w:bCs/>
          <w:sz w:val="22"/>
          <w:szCs w:val="22"/>
        </w:rPr>
      </w:pPr>
    </w:p>
    <w:p w14:paraId="129938BB" w14:textId="77777777" w:rsidR="00FC5785" w:rsidRDefault="00FC5785" w:rsidP="00FC5785">
      <w:pPr>
        <w:rPr>
          <w:rFonts w:ascii="Calibri" w:hAnsi="Calibri" w:cs="Calibri"/>
          <w:b/>
          <w:bCs/>
          <w:sz w:val="22"/>
          <w:szCs w:val="22"/>
        </w:rPr>
      </w:pPr>
      <w:r>
        <w:rPr>
          <w:rFonts w:ascii="Calibri" w:hAnsi="Calibri" w:cs="Calibri"/>
          <w:b/>
          <w:bCs/>
          <w:sz w:val="22"/>
          <w:szCs w:val="22"/>
        </w:rPr>
        <w:t>References</w:t>
      </w:r>
    </w:p>
    <w:p w14:paraId="1B220DE4" w14:textId="77777777" w:rsidR="00FC5785" w:rsidRPr="00497F04" w:rsidRDefault="00FC5785" w:rsidP="00FC5785">
      <w:pPr>
        <w:rPr>
          <w:rFonts w:ascii="Calibri" w:hAnsi="Calibri" w:cs="Calibri"/>
          <w:iCs/>
          <w:sz w:val="22"/>
          <w:szCs w:val="22"/>
          <w:lang w:val="en-GB"/>
        </w:rPr>
      </w:pPr>
      <w:r>
        <w:rPr>
          <w:rFonts w:ascii="Calibri" w:hAnsi="Calibri" w:cs="Calibri"/>
          <w:iCs/>
          <w:sz w:val="22"/>
          <w:szCs w:val="22"/>
          <w:lang w:val="en-GB"/>
        </w:rPr>
        <w:t>[1]</w:t>
      </w:r>
      <w:r w:rsidRPr="00497F04">
        <w:rPr>
          <w:rFonts w:ascii="Calibri" w:hAnsi="Calibri" w:cs="Calibri"/>
          <w:iCs/>
          <w:sz w:val="22"/>
          <w:szCs w:val="22"/>
          <w:lang w:val="en-GB"/>
        </w:rPr>
        <w:t xml:space="preserve"> </w:t>
      </w:r>
      <w:hyperlink r:id="rId22" w:history="1">
        <w:r w:rsidRPr="00705EAD">
          <w:rPr>
            <w:rStyle w:val="Hyperlink"/>
            <w:rFonts w:ascii="Calibri" w:hAnsi="Calibri" w:cs="Calibri"/>
            <w:iCs/>
            <w:sz w:val="22"/>
            <w:szCs w:val="22"/>
            <w:lang w:val="en-GB"/>
          </w:rPr>
          <w:t>https://www.who.int/leishmaniasis/burden/en/</w:t>
        </w:r>
      </w:hyperlink>
      <w:r w:rsidRPr="00497F04">
        <w:rPr>
          <w:rFonts w:ascii="Calibri" w:hAnsi="Calibri" w:cs="Calibri"/>
          <w:iCs/>
          <w:sz w:val="22"/>
          <w:szCs w:val="22"/>
          <w:lang w:val="en-GB"/>
        </w:rPr>
        <w:t>, (accessed 11/</w:t>
      </w:r>
      <w:r>
        <w:rPr>
          <w:rFonts w:ascii="Calibri" w:hAnsi="Calibri" w:cs="Calibri"/>
          <w:iCs/>
          <w:sz w:val="22"/>
          <w:szCs w:val="22"/>
          <w:lang w:val="en-GB"/>
        </w:rPr>
        <w:t>11</w:t>
      </w:r>
      <w:r w:rsidRPr="00497F04">
        <w:rPr>
          <w:rFonts w:ascii="Calibri" w:hAnsi="Calibri" w:cs="Calibri"/>
          <w:iCs/>
          <w:sz w:val="22"/>
          <w:szCs w:val="22"/>
          <w:lang w:val="en-GB"/>
        </w:rPr>
        <w:t>/202</w:t>
      </w:r>
      <w:r>
        <w:rPr>
          <w:rFonts w:ascii="Calibri" w:hAnsi="Calibri" w:cs="Calibri"/>
          <w:iCs/>
          <w:sz w:val="22"/>
          <w:szCs w:val="22"/>
          <w:lang w:val="en-GB"/>
        </w:rPr>
        <w:t>4</w:t>
      </w:r>
      <w:r w:rsidRPr="00497F04">
        <w:rPr>
          <w:rFonts w:ascii="Calibri" w:hAnsi="Calibri" w:cs="Calibri"/>
          <w:iCs/>
          <w:sz w:val="22"/>
          <w:szCs w:val="22"/>
          <w:lang w:val="en-GB"/>
        </w:rPr>
        <w:t>).</w:t>
      </w:r>
    </w:p>
    <w:p w14:paraId="047BA0E6" w14:textId="77777777" w:rsidR="00FC5785" w:rsidRPr="00EC17EF" w:rsidRDefault="00FC5785" w:rsidP="00FC5785">
      <w:pPr>
        <w:rPr>
          <w:rFonts w:ascii="Calibri" w:hAnsi="Calibri" w:cs="Calibri"/>
          <w:sz w:val="22"/>
          <w:szCs w:val="22"/>
          <w:lang w:val="pt-PT"/>
        </w:rPr>
      </w:pPr>
      <w:r>
        <w:rPr>
          <w:rFonts w:ascii="Calibri" w:hAnsi="Calibri" w:cs="Calibri"/>
          <w:sz w:val="22"/>
          <w:szCs w:val="22"/>
          <w:lang w:val="pt-PT"/>
        </w:rPr>
        <w:lastRenderedPageBreak/>
        <w:t>[2]</w:t>
      </w:r>
      <w:r w:rsidRPr="00497F04">
        <w:rPr>
          <w:rFonts w:ascii="Calibri" w:hAnsi="Calibri" w:cs="Calibri"/>
          <w:sz w:val="22"/>
          <w:szCs w:val="22"/>
          <w:lang w:val="pt-PT"/>
        </w:rPr>
        <w:t xml:space="preserve"> a) R. Balaña-Fouce, R. Álvarez-Velilla, C. Fernández-Prada, C. García-Estrada, R. M. Reguera, Int. J. </w:t>
      </w:r>
      <w:r w:rsidRPr="00497F04">
        <w:rPr>
          <w:rFonts w:ascii="Calibri" w:hAnsi="Calibri" w:cs="Calibri"/>
          <w:i/>
          <w:sz w:val="22"/>
          <w:szCs w:val="22"/>
          <w:lang w:val="pt-PT"/>
        </w:rPr>
        <w:t>Parasitology: Drugs and Drug Resistance</w:t>
      </w:r>
      <w:r w:rsidRPr="00497F04">
        <w:rPr>
          <w:rFonts w:ascii="Calibri" w:hAnsi="Calibri" w:cs="Calibri"/>
          <w:sz w:val="22"/>
          <w:szCs w:val="22"/>
          <w:lang w:val="pt-PT"/>
        </w:rPr>
        <w:t xml:space="preserve"> 4, </w:t>
      </w:r>
      <w:r w:rsidRPr="00497F04">
        <w:rPr>
          <w:rFonts w:ascii="Calibri" w:hAnsi="Calibri" w:cs="Calibri"/>
          <w:b/>
          <w:sz w:val="22"/>
          <w:szCs w:val="22"/>
          <w:lang w:val="pt-PT"/>
        </w:rPr>
        <w:t>2014</w:t>
      </w:r>
      <w:r w:rsidRPr="00497F04">
        <w:rPr>
          <w:rFonts w:ascii="Calibri" w:hAnsi="Calibri" w:cs="Calibri"/>
          <w:sz w:val="22"/>
          <w:szCs w:val="22"/>
          <w:lang w:val="pt-PT"/>
        </w:rPr>
        <w:t xml:space="preserve">, 326–337.  </w:t>
      </w:r>
      <w:r w:rsidRPr="00EC17EF">
        <w:rPr>
          <w:rFonts w:ascii="Calibri" w:hAnsi="Calibri" w:cs="Calibri"/>
          <w:sz w:val="22"/>
          <w:szCs w:val="22"/>
          <w:lang w:val="pt-PT"/>
        </w:rPr>
        <w:t xml:space="preserve">b) S.L. Croft, P. Olliaro, </w:t>
      </w:r>
      <w:r w:rsidRPr="00EC17EF">
        <w:rPr>
          <w:rFonts w:ascii="Calibri" w:hAnsi="Calibri" w:cs="Calibri"/>
          <w:i/>
          <w:sz w:val="22"/>
          <w:szCs w:val="22"/>
          <w:lang w:val="pt-PT"/>
        </w:rPr>
        <w:t>Clin. Microbiol. Infect</w:t>
      </w:r>
      <w:r w:rsidRPr="00EC17EF">
        <w:rPr>
          <w:rFonts w:ascii="Calibri" w:hAnsi="Calibri" w:cs="Calibri"/>
          <w:sz w:val="22"/>
          <w:szCs w:val="22"/>
          <w:lang w:val="pt-PT"/>
        </w:rPr>
        <w:t xml:space="preserve">. 17, </w:t>
      </w:r>
      <w:r w:rsidRPr="00EC17EF">
        <w:rPr>
          <w:rFonts w:ascii="Calibri" w:hAnsi="Calibri" w:cs="Calibri"/>
          <w:b/>
          <w:sz w:val="22"/>
          <w:szCs w:val="22"/>
          <w:lang w:val="pt-PT"/>
        </w:rPr>
        <w:t>2011</w:t>
      </w:r>
      <w:r w:rsidRPr="00EC17EF">
        <w:rPr>
          <w:rFonts w:ascii="Calibri" w:hAnsi="Calibri" w:cs="Calibri"/>
          <w:sz w:val="22"/>
          <w:szCs w:val="22"/>
          <w:lang w:val="pt-PT"/>
        </w:rPr>
        <w:t xml:space="preserve">, 1478–1483.  </w:t>
      </w:r>
    </w:p>
    <w:p w14:paraId="15D84C75" w14:textId="77777777" w:rsidR="00FC5785" w:rsidRPr="00F77832" w:rsidRDefault="00FC5785" w:rsidP="00FC5785">
      <w:pPr>
        <w:rPr>
          <w:rFonts w:ascii="Calibri" w:hAnsi="Calibri" w:cs="Calibri"/>
          <w:sz w:val="22"/>
          <w:szCs w:val="22"/>
          <w:lang w:val="pt-PT"/>
        </w:rPr>
      </w:pPr>
      <w:r w:rsidRPr="00EC17EF">
        <w:rPr>
          <w:rFonts w:ascii="Calibri" w:hAnsi="Calibri" w:cs="Calibri"/>
          <w:sz w:val="22"/>
          <w:szCs w:val="22"/>
          <w:lang w:val="pt-PT"/>
        </w:rPr>
        <w:t xml:space="preserve">[3] </w:t>
      </w:r>
      <w:r w:rsidRPr="00CB723A">
        <w:rPr>
          <w:rFonts w:ascii="Calibri" w:hAnsi="Calibri" w:cs="Calibri"/>
          <w:sz w:val="22"/>
          <w:szCs w:val="22"/>
          <w:lang w:val="pt-PT"/>
        </w:rPr>
        <w:t xml:space="preserve">A. Lopes, N. Santarém, A. Cordeiro-da-Silva, M. A. Carvalho, </w:t>
      </w:r>
      <w:r w:rsidRPr="00CB723A">
        <w:rPr>
          <w:rFonts w:ascii="Calibri" w:hAnsi="Calibri" w:cs="Calibri"/>
          <w:i/>
          <w:iCs/>
          <w:sz w:val="22"/>
          <w:szCs w:val="22"/>
          <w:lang w:val="pt-PT"/>
        </w:rPr>
        <w:t xml:space="preserve">ACS Med. </w:t>
      </w:r>
      <w:r w:rsidRPr="00F77832">
        <w:rPr>
          <w:rFonts w:ascii="Calibri" w:hAnsi="Calibri" w:cs="Calibri"/>
          <w:i/>
          <w:iCs/>
          <w:sz w:val="22"/>
          <w:szCs w:val="22"/>
          <w:lang w:val="pt-PT"/>
        </w:rPr>
        <w:t>Chem. Lett.</w:t>
      </w:r>
      <w:r w:rsidRPr="00F77832">
        <w:rPr>
          <w:rFonts w:ascii="Calibri" w:hAnsi="Calibri" w:cs="Calibri"/>
          <w:sz w:val="22"/>
          <w:szCs w:val="22"/>
          <w:lang w:val="pt-PT"/>
        </w:rPr>
        <w:t> </w:t>
      </w:r>
      <w:r w:rsidRPr="00F77832">
        <w:rPr>
          <w:rFonts w:ascii="Calibri" w:hAnsi="Calibri" w:cs="Calibri"/>
          <w:b/>
          <w:bCs/>
          <w:sz w:val="22"/>
          <w:szCs w:val="22"/>
          <w:lang w:val="pt-PT"/>
        </w:rPr>
        <w:t>2022</w:t>
      </w:r>
      <w:r w:rsidRPr="00F77832">
        <w:rPr>
          <w:rFonts w:ascii="Calibri" w:hAnsi="Calibri" w:cs="Calibri"/>
          <w:sz w:val="22"/>
          <w:szCs w:val="22"/>
          <w:lang w:val="pt-PT"/>
        </w:rPr>
        <w:t xml:space="preserve">, </w:t>
      </w:r>
      <w:r w:rsidRPr="00F77832">
        <w:rPr>
          <w:rFonts w:ascii="Calibri" w:hAnsi="Calibri" w:cs="Calibri"/>
          <w:i/>
          <w:iCs/>
          <w:sz w:val="22"/>
          <w:szCs w:val="22"/>
          <w:lang w:val="pt-PT"/>
        </w:rPr>
        <w:t>13</w:t>
      </w:r>
      <w:r w:rsidRPr="00F77832">
        <w:rPr>
          <w:rFonts w:ascii="Calibri" w:hAnsi="Calibri" w:cs="Calibri"/>
          <w:sz w:val="22"/>
          <w:szCs w:val="22"/>
          <w:lang w:val="pt-PT"/>
        </w:rPr>
        <w:t xml:space="preserve"> (9), 1427-1433.</w:t>
      </w:r>
    </w:p>
    <w:p w14:paraId="25F9E11F" w14:textId="77777777" w:rsidR="00FC5785" w:rsidRPr="00F77832" w:rsidRDefault="00FC5785" w:rsidP="00FC5785">
      <w:pPr>
        <w:rPr>
          <w:rFonts w:ascii="Calibri" w:hAnsi="Calibri" w:cs="Calibri"/>
          <w:sz w:val="22"/>
          <w:szCs w:val="22"/>
          <w:lang w:val="en-GB"/>
        </w:rPr>
      </w:pPr>
      <w:r w:rsidRPr="00103AA7">
        <w:rPr>
          <w:rFonts w:ascii="Calibri" w:hAnsi="Calibri" w:cs="Calibri"/>
          <w:sz w:val="22"/>
          <w:szCs w:val="22"/>
          <w:lang w:val="pt-PT"/>
        </w:rPr>
        <w:t xml:space="preserve">[4] </w:t>
      </w:r>
      <w:r w:rsidRPr="00CB723A">
        <w:rPr>
          <w:rFonts w:ascii="Calibri" w:hAnsi="Calibri" w:cs="Calibri"/>
          <w:sz w:val="22"/>
          <w:szCs w:val="22"/>
          <w:lang w:val="pt-PT"/>
        </w:rPr>
        <w:t xml:space="preserve">A. Lopes, N. Santarém, </w:t>
      </w:r>
      <w:r>
        <w:rPr>
          <w:rFonts w:ascii="Calibri" w:hAnsi="Calibri" w:cs="Calibri"/>
          <w:sz w:val="22"/>
          <w:szCs w:val="22"/>
          <w:lang w:val="pt-PT"/>
        </w:rPr>
        <w:t xml:space="preserve">A. </w:t>
      </w:r>
      <w:r w:rsidRPr="00AA5F0E">
        <w:rPr>
          <w:rFonts w:ascii="Calibri" w:hAnsi="Calibri" w:cs="Calibri"/>
          <w:sz w:val="22"/>
          <w:szCs w:val="22"/>
          <w:lang w:val="pt-PT"/>
        </w:rPr>
        <w:t>Greco,</w:t>
      </w:r>
      <w:r>
        <w:rPr>
          <w:rFonts w:ascii="Calibri" w:hAnsi="Calibri" w:cs="Calibri"/>
          <w:sz w:val="22"/>
          <w:szCs w:val="22"/>
          <w:lang w:val="pt-PT"/>
        </w:rPr>
        <w:t xml:space="preserve"> A.</w:t>
      </w:r>
      <w:r w:rsidRPr="00AA5F0E">
        <w:rPr>
          <w:rFonts w:ascii="Calibri" w:hAnsi="Calibri" w:cs="Calibri"/>
          <w:sz w:val="22"/>
          <w:szCs w:val="22"/>
          <w:lang w:val="pt-PT"/>
        </w:rPr>
        <w:t xml:space="preserve"> Pagliaro, </w:t>
      </w:r>
      <w:r>
        <w:rPr>
          <w:rFonts w:ascii="Calibri" w:hAnsi="Calibri" w:cs="Calibri"/>
          <w:sz w:val="22"/>
          <w:szCs w:val="22"/>
          <w:lang w:val="pt-PT"/>
        </w:rPr>
        <w:t xml:space="preserve">O. </w:t>
      </w:r>
      <w:r w:rsidRPr="00AA5F0E">
        <w:rPr>
          <w:rFonts w:ascii="Calibri" w:hAnsi="Calibri" w:cs="Calibri"/>
          <w:sz w:val="22"/>
          <w:szCs w:val="22"/>
          <w:lang w:val="pt-PT"/>
        </w:rPr>
        <w:t xml:space="preserve">Keminer, </w:t>
      </w:r>
      <w:r>
        <w:rPr>
          <w:rFonts w:ascii="Calibri" w:hAnsi="Calibri" w:cs="Calibri"/>
          <w:sz w:val="22"/>
          <w:szCs w:val="22"/>
          <w:lang w:val="pt-PT"/>
        </w:rPr>
        <w:t xml:space="preserve">S. </w:t>
      </w:r>
      <w:r w:rsidRPr="00AA5F0E">
        <w:rPr>
          <w:rFonts w:ascii="Calibri" w:hAnsi="Calibri" w:cs="Calibri"/>
          <w:sz w:val="22"/>
          <w:szCs w:val="22"/>
          <w:lang w:val="pt-PT"/>
        </w:rPr>
        <w:t>Gul</w:t>
      </w:r>
      <w:r>
        <w:rPr>
          <w:rFonts w:ascii="Calibri" w:hAnsi="Calibri" w:cs="Calibri"/>
          <w:sz w:val="22"/>
          <w:szCs w:val="22"/>
          <w:lang w:val="pt-PT"/>
        </w:rPr>
        <w:t>,</w:t>
      </w:r>
      <w:r w:rsidRPr="00AA5F0E">
        <w:rPr>
          <w:rFonts w:ascii="Calibri" w:hAnsi="Calibri" w:cs="Calibri"/>
          <w:sz w:val="22"/>
          <w:szCs w:val="22"/>
          <w:lang w:val="pt-PT"/>
        </w:rPr>
        <w:t xml:space="preserve"> </w:t>
      </w:r>
      <w:r w:rsidRPr="00CB723A">
        <w:rPr>
          <w:rFonts w:ascii="Calibri" w:hAnsi="Calibri" w:cs="Calibri"/>
          <w:sz w:val="22"/>
          <w:szCs w:val="22"/>
          <w:lang w:val="pt-PT"/>
        </w:rPr>
        <w:t>A. Cordeiro-da-Silva, M. A. Carvalho</w:t>
      </w:r>
      <w:r w:rsidRPr="00103AA7">
        <w:rPr>
          <w:rFonts w:ascii="Calibri" w:hAnsi="Calibri" w:cs="Calibri"/>
          <w:sz w:val="22"/>
          <w:szCs w:val="22"/>
          <w:lang w:val="pt-PT"/>
        </w:rPr>
        <w:t> </w:t>
      </w:r>
      <w:r w:rsidRPr="00103AA7">
        <w:rPr>
          <w:rFonts w:ascii="Calibri" w:hAnsi="Calibri" w:cs="Calibri"/>
          <w:i/>
          <w:iCs/>
          <w:sz w:val="22"/>
          <w:szCs w:val="22"/>
          <w:lang w:val="pt-PT"/>
        </w:rPr>
        <w:t xml:space="preserve">ACS Med. </w:t>
      </w:r>
      <w:r w:rsidRPr="00F77832">
        <w:rPr>
          <w:rFonts w:ascii="Calibri" w:hAnsi="Calibri" w:cs="Calibri"/>
          <w:i/>
          <w:iCs/>
          <w:sz w:val="22"/>
          <w:szCs w:val="22"/>
          <w:lang w:val="en-GB"/>
        </w:rPr>
        <w:t>Chem</w:t>
      </w:r>
      <w:r w:rsidRPr="00F77832">
        <w:rPr>
          <w:rFonts w:ascii="Calibri" w:hAnsi="Calibri" w:cs="Calibri"/>
          <w:sz w:val="22"/>
          <w:szCs w:val="22"/>
          <w:lang w:val="en-GB"/>
        </w:rPr>
        <w:t xml:space="preserve">. Lett. </w:t>
      </w:r>
      <w:r w:rsidRPr="00F77832">
        <w:rPr>
          <w:rFonts w:ascii="Calibri" w:hAnsi="Calibri" w:cs="Calibri"/>
          <w:b/>
          <w:bCs/>
          <w:sz w:val="22"/>
          <w:szCs w:val="22"/>
          <w:lang w:val="en-GB"/>
        </w:rPr>
        <w:t>2024</w:t>
      </w:r>
      <w:r w:rsidRPr="00F77832">
        <w:rPr>
          <w:rFonts w:ascii="Calibri" w:hAnsi="Calibri" w:cs="Calibri"/>
          <w:sz w:val="22"/>
          <w:szCs w:val="22"/>
          <w:lang w:val="en-GB"/>
        </w:rPr>
        <w:t>, 15, 9, 1541–1548.</w:t>
      </w:r>
    </w:p>
    <w:p w14:paraId="7E3E3A13" w14:textId="77777777" w:rsidR="00FC5785" w:rsidRPr="00F77832" w:rsidRDefault="00FC5785" w:rsidP="00FC5785">
      <w:pPr>
        <w:rPr>
          <w:rFonts w:ascii="Calibri" w:hAnsi="Calibri" w:cs="Calibri"/>
          <w:sz w:val="22"/>
          <w:szCs w:val="22"/>
          <w:lang w:val="en-GB"/>
        </w:rPr>
      </w:pPr>
    </w:p>
    <w:p w14:paraId="3446E69C" w14:textId="77777777" w:rsidR="00FC5785" w:rsidRPr="009B6A9A" w:rsidRDefault="00FC5785" w:rsidP="00FC5785">
      <w:pPr>
        <w:rPr>
          <w:rFonts w:asciiTheme="minorHAnsi" w:hAnsiTheme="minorHAnsi" w:cstheme="minorHAnsi"/>
          <w:b/>
          <w:bCs/>
          <w:spacing w:val="2"/>
          <w:sz w:val="22"/>
          <w:szCs w:val="22"/>
          <w:shd w:val="clear" w:color="auto" w:fill="FFFFFF"/>
        </w:rPr>
      </w:pPr>
      <w:r w:rsidRPr="009B6A9A">
        <w:rPr>
          <w:rFonts w:asciiTheme="minorHAnsi" w:hAnsiTheme="minorHAnsi" w:cstheme="minorHAnsi"/>
          <w:b/>
          <w:bCs/>
          <w:spacing w:val="2"/>
          <w:sz w:val="22"/>
          <w:szCs w:val="22"/>
          <w:shd w:val="clear" w:color="auto" w:fill="FFFFFF"/>
        </w:rPr>
        <w:t>Acknowledgment</w:t>
      </w:r>
    </w:p>
    <w:p w14:paraId="1F09C451" w14:textId="77777777" w:rsidR="00FC5785" w:rsidRPr="009B6A9A" w:rsidRDefault="00FC5785" w:rsidP="00FC5785">
      <w:pPr>
        <w:rPr>
          <w:rFonts w:asciiTheme="minorHAnsi" w:hAnsiTheme="minorHAnsi" w:cstheme="minorHAnsi"/>
          <w:sz w:val="22"/>
          <w:szCs w:val="22"/>
        </w:rPr>
      </w:pPr>
      <w:r w:rsidRPr="009B6A9A">
        <w:rPr>
          <w:rFonts w:asciiTheme="minorHAnsi" w:hAnsiTheme="minorHAnsi" w:cstheme="minorHAnsi"/>
          <w:spacing w:val="2"/>
          <w:sz w:val="22"/>
          <w:szCs w:val="22"/>
          <w:shd w:val="clear" w:color="auto" w:fill="FFFFFF"/>
        </w:rPr>
        <w:t xml:space="preserve">The Authors acknowledge </w:t>
      </w:r>
      <w:r w:rsidRPr="009B6A9A">
        <w:rPr>
          <w:rFonts w:asciiTheme="minorHAnsi" w:hAnsiTheme="minorHAnsi" w:cstheme="minorHAnsi"/>
          <w:sz w:val="22"/>
          <w:szCs w:val="22"/>
        </w:rPr>
        <w:t>Fundação para a Ciência e a Tecnologia (FCT-Portugal) in the framework of CQUM (UIDB/00686/2020) for the financial support.</w:t>
      </w:r>
    </w:p>
    <w:p w14:paraId="54BD2281" w14:textId="3C3F1474" w:rsidR="00FC5785" w:rsidRDefault="00FC5785">
      <w:pPr>
        <w:rPr>
          <w:rFonts w:ascii="Calibri" w:hAnsi="Calibri" w:cs="Calibri"/>
          <w:sz w:val="22"/>
          <w:szCs w:val="22"/>
        </w:rPr>
      </w:pPr>
      <w:r>
        <w:rPr>
          <w:rFonts w:ascii="Calibri" w:hAnsi="Calibri" w:cs="Calibri"/>
          <w:sz w:val="22"/>
          <w:szCs w:val="22"/>
        </w:rPr>
        <w:br w:type="page"/>
      </w:r>
    </w:p>
    <w:p w14:paraId="4090C8CD" w14:textId="77777777" w:rsidR="00FC5785" w:rsidRDefault="00FC5785" w:rsidP="00FC5785">
      <w:pPr>
        <w:spacing w:line="264" w:lineRule="auto"/>
        <w:rPr>
          <w:rFonts w:ascii="Calibri" w:hAnsi="Calibri" w:cs="Calibri"/>
          <w:b/>
          <w:bCs/>
          <w:color w:val="000000" w:themeColor="text1"/>
          <w:lang w:val="en-GB"/>
        </w:rPr>
      </w:pPr>
    </w:p>
    <w:p w14:paraId="5361019D" w14:textId="77777777" w:rsidR="00FC5785" w:rsidRDefault="00FC5785" w:rsidP="00FC5785">
      <w:pPr>
        <w:spacing w:line="264" w:lineRule="auto"/>
        <w:jc w:val="center"/>
        <w:rPr>
          <w:rFonts w:ascii="Calibri" w:hAnsi="Calibri" w:cs="Calibri"/>
          <w:b/>
          <w:bCs/>
          <w:color w:val="2E74B5" w:themeColor="accent5" w:themeShade="BF"/>
          <w:lang w:val="en-GB"/>
        </w:rPr>
      </w:pPr>
      <w:r w:rsidRPr="00FC5785">
        <w:rPr>
          <w:rFonts w:ascii="Calibri" w:hAnsi="Calibri" w:cs="Calibri"/>
          <w:b/>
          <w:bCs/>
          <w:color w:val="2E74B5" w:themeColor="accent5" w:themeShade="BF"/>
          <w:lang w:val="en-GB"/>
        </w:rPr>
        <w:t xml:space="preserve">Investigation of the bifunctional enzyme dihydrofolate reductase-thymidylate synthase (DHFR-TS) from </w:t>
      </w:r>
      <w:r w:rsidRPr="00FC5785">
        <w:rPr>
          <w:rFonts w:ascii="Calibri" w:hAnsi="Calibri" w:cs="Calibri"/>
          <w:b/>
          <w:bCs/>
          <w:i/>
          <w:iCs/>
          <w:color w:val="2E74B5" w:themeColor="accent5" w:themeShade="BF"/>
          <w:lang w:val="en-GB"/>
        </w:rPr>
        <w:t>Leishmania major</w:t>
      </w:r>
    </w:p>
    <w:p w14:paraId="693502C6" w14:textId="77777777" w:rsidR="00FC5785" w:rsidRPr="003A7DD4" w:rsidRDefault="00FC5785" w:rsidP="00FC5785">
      <w:pPr>
        <w:spacing w:line="264" w:lineRule="auto"/>
        <w:rPr>
          <w:rFonts w:ascii="Calibri" w:hAnsi="Calibri" w:cs="Calibri"/>
          <w:b/>
          <w:bCs/>
          <w:color w:val="000000" w:themeColor="text1"/>
        </w:rPr>
      </w:pPr>
    </w:p>
    <w:p w14:paraId="62A2CCFE" w14:textId="55049B33" w:rsidR="00570397" w:rsidRPr="006904D0" w:rsidRDefault="00570397" w:rsidP="00570397">
      <w:pPr>
        <w:spacing w:line="360" w:lineRule="auto"/>
        <w:jc w:val="center"/>
        <w:rPr>
          <w:rFonts w:asciiTheme="minorHAnsi" w:hAnsiTheme="minorHAnsi" w:cstheme="minorHAnsi"/>
          <w:lang w:val="en-GB"/>
        </w:rPr>
      </w:pPr>
      <w:r w:rsidRPr="006904D0">
        <w:rPr>
          <w:rFonts w:asciiTheme="minorHAnsi" w:hAnsiTheme="minorHAnsi" w:cstheme="minorHAnsi"/>
          <w:color w:val="000000"/>
          <w:u w:val="single"/>
          <w:lang w:val="en-GB"/>
        </w:rPr>
        <w:t>Cintesun S</w:t>
      </w:r>
      <w:r>
        <w:rPr>
          <w:rFonts w:asciiTheme="minorHAnsi" w:hAnsiTheme="minorHAnsi" w:cstheme="minorHAnsi"/>
          <w:color w:val="000000"/>
          <w:u w:val="single"/>
          <w:lang w:val="en-GB"/>
        </w:rPr>
        <w:t>ener</w:t>
      </w:r>
      <w:r w:rsidRPr="006904D0">
        <w:rPr>
          <w:rFonts w:asciiTheme="minorHAnsi" w:hAnsiTheme="minorHAnsi" w:cstheme="minorHAnsi"/>
          <w:color w:val="000000"/>
          <w:u w:val="single"/>
          <w:lang w:val="en-GB"/>
        </w:rPr>
        <w:t xml:space="preserve">, </w:t>
      </w:r>
      <w:r w:rsidRPr="006904D0">
        <w:rPr>
          <w:rFonts w:asciiTheme="minorHAnsi" w:hAnsiTheme="minorHAnsi" w:cstheme="minorHAnsi"/>
          <w:color w:val="000000"/>
          <w:vertAlign w:val="superscript"/>
          <w:lang w:val="en-GB"/>
        </w:rPr>
        <w:t>a</w:t>
      </w:r>
      <w:r w:rsidRPr="006904D0">
        <w:rPr>
          <w:rFonts w:asciiTheme="minorHAnsi" w:hAnsiTheme="minorHAnsi" w:cstheme="minorHAnsi"/>
          <w:color w:val="000000"/>
          <w:lang w:val="en-GB"/>
        </w:rPr>
        <w:t xml:space="preserve"> Pozzi C</w:t>
      </w:r>
      <w:r>
        <w:rPr>
          <w:rFonts w:asciiTheme="minorHAnsi" w:hAnsiTheme="minorHAnsi" w:cstheme="minorHAnsi"/>
          <w:color w:val="000000"/>
          <w:lang w:val="en-GB"/>
        </w:rPr>
        <w:t>ecilia</w:t>
      </w:r>
      <w:r w:rsidRPr="006904D0">
        <w:rPr>
          <w:rFonts w:asciiTheme="minorHAnsi" w:hAnsiTheme="minorHAnsi" w:cstheme="minorHAnsi"/>
          <w:color w:val="000000"/>
          <w:vertAlign w:val="superscript"/>
          <w:lang w:val="en-GB"/>
        </w:rPr>
        <w:t>b</w:t>
      </w:r>
    </w:p>
    <w:p w14:paraId="1A9F0990" w14:textId="77777777" w:rsidR="00570397" w:rsidRPr="00B82C29" w:rsidRDefault="00570397" w:rsidP="00570397">
      <w:pPr>
        <w:jc w:val="center"/>
        <w:rPr>
          <w:rFonts w:asciiTheme="minorHAnsi" w:hAnsiTheme="minorHAnsi" w:cstheme="minorHAnsi"/>
          <w:color w:val="000000"/>
          <w:sz w:val="22"/>
          <w:szCs w:val="22"/>
          <w:lang w:val="en-GB"/>
        </w:rPr>
      </w:pPr>
      <w:r w:rsidRPr="00B82C29">
        <w:rPr>
          <w:rFonts w:asciiTheme="minorHAnsi" w:hAnsiTheme="minorHAnsi" w:cstheme="minorHAnsi"/>
          <w:color w:val="000000"/>
          <w:sz w:val="22"/>
          <w:szCs w:val="22"/>
          <w:vertAlign w:val="superscript"/>
          <w:lang w:val="en-GB"/>
        </w:rPr>
        <w:t xml:space="preserve">a </w:t>
      </w:r>
      <w:r w:rsidRPr="00B82C29">
        <w:rPr>
          <w:rFonts w:asciiTheme="minorHAnsi" w:hAnsiTheme="minorHAnsi" w:cstheme="minorHAnsi"/>
          <w:color w:val="000000"/>
          <w:sz w:val="22"/>
          <w:szCs w:val="22"/>
          <w:lang w:val="en-GB"/>
        </w:rPr>
        <w:t xml:space="preserve">Yildiz Technical University, Turkiye; </w:t>
      </w:r>
      <w:r w:rsidRPr="00B82C29">
        <w:rPr>
          <w:rFonts w:asciiTheme="minorHAnsi" w:hAnsiTheme="minorHAnsi" w:cstheme="minorHAnsi"/>
          <w:color w:val="000000"/>
          <w:sz w:val="22"/>
          <w:szCs w:val="22"/>
          <w:vertAlign w:val="superscript"/>
          <w:lang w:val="en-GB"/>
        </w:rPr>
        <w:t xml:space="preserve">b </w:t>
      </w:r>
      <w:r w:rsidRPr="00B82C29">
        <w:rPr>
          <w:rFonts w:asciiTheme="minorHAnsi" w:hAnsiTheme="minorHAnsi" w:cstheme="minorHAnsi"/>
          <w:color w:val="000000"/>
          <w:sz w:val="22"/>
          <w:szCs w:val="22"/>
          <w:lang w:val="en-GB"/>
        </w:rPr>
        <w:t>University of Siena, Italy.</w:t>
      </w:r>
    </w:p>
    <w:p w14:paraId="623E9242" w14:textId="77777777" w:rsidR="00570397" w:rsidRPr="00B82C29" w:rsidRDefault="00570397" w:rsidP="00570397">
      <w:pPr>
        <w:jc w:val="center"/>
        <w:rPr>
          <w:rFonts w:asciiTheme="minorHAnsi" w:hAnsiTheme="minorHAnsi" w:cstheme="minorHAnsi"/>
          <w:color w:val="000000"/>
          <w:sz w:val="22"/>
          <w:szCs w:val="22"/>
        </w:rPr>
      </w:pPr>
      <w:r w:rsidRPr="00B82C29">
        <w:rPr>
          <w:rFonts w:asciiTheme="minorHAnsi" w:hAnsiTheme="minorHAnsi" w:cstheme="minorHAnsi"/>
          <w:color w:val="000000"/>
          <w:sz w:val="22"/>
          <w:szCs w:val="22"/>
        </w:rPr>
        <w:t>cintesun@yildiz.edu.tr</w:t>
      </w:r>
    </w:p>
    <w:p w14:paraId="157DC99E" w14:textId="77777777" w:rsidR="00570397" w:rsidRPr="008A10D3" w:rsidRDefault="00570397" w:rsidP="00570397">
      <w:pPr>
        <w:jc w:val="center"/>
        <w:rPr>
          <w:rFonts w:asciiTheme="minorHAnsi" w:hAnsiTheme="minorHAnsi" w:cstheme="minorHAnsi"/>
          <w:sz w:val="22"/>
          <w:szCs w:val="22"/>
        </w:rPr>
      </w:pPr>
    </w:p>
    <w:p w14:paraId="15AC6B7F" w14:textId="77777777" w:rsidR="00570397" w:rsidRPr="00B82C29" w:rsidRDefault="00570397" w:rsidP="00570397">
      <w:pPr>
        <w:jc w:val="both"/>
        <w:rPr>
          <w:rFonts w:asciiTheme="minorHAnsi" w:hAnsiTheme="minorHAnsi" w:cstheme="minorHAnsi"/>
        </w:rPr>
      </w:pPr>
      <w:r w:rsidRPr="00B82C29">
        <w:rPr>
          <w:rFonts w:asciiTheme="minorHAnsi" w:hAnsiTheme="minorHAnsi" w:cstheme="minorHAnsi"/>
        </w:rPr>
        <w:t xml:space="preserve">Leishmaniasis is a tropical disease caused by a vector-borne, obligate intracellular protozoan parasite of the genus </w:t>
      </w:r>
      <w:r w:rsidRPr="00B82C29">
        <w:rPr>
          <w:rFonts w:asciiTheme="minorHAnsi" w:hAnsiTheme="minorHAnsi" w:cstheme="minorHAnsi"/>
          <w:i/>
        </w:rPr>
        <w:t>Leishmania</w:t>
      </w:r>
      <w:r w:rsidRPr="00B82C29">
        <w:rPr>
          <w:rFonts w:asciiTheme="minorHAnsi" w:hAnsiTheme="minorHAnsi" w:cstheme="minorHAnsi"/>
        </w:rPr>
        <w:t xml:space="preserve"> [1].  Dihydrofolate reductase thymidylate synthase (DHFR-TS) is a bifunctional enzyme that exists as a single unit in </w:t>
      </w:r>
      <w:r w:rsidRPr="00B82C29">
        <w:rPr>
          <w:rFonts w:asciiTheme="minorHAnsi" w:hAnsiTheme="minorHAnsi" w:cstheme="minorHAnsi"/>
          <w:i/>
        </w:rPr>
        <w:t>Leishmania</w:t>
      </w:r>
      <w:r w:rsidRPr="00B82C29">
        <w:rPr>
          <w:rFonts w:asciiTheme="minorHAnsi" w:hAnsiTheme="minorHAnsi" w:cstheme="minorHAnsi"/>
        </w:rPr>
        <w:t xml:space="preserve"> parasites and is vital in folate biosynthesis. The folate cycle is a vital process that enables the parasite to produce nucleotides and folate necessary for DNA and RNA synthesis, and for cellular growth [2]. Thus the activity of </w:t>
      </w:r>
      <w:r w:rsidRPr="00B82C29">
        <w:rPr>
          <w:rFonts w:asciiTheme="minorHAnsi" w:hAnsiTheme="minorHAnsi" w:cstheme="minorHAnsi"/>
          <w:iCs/>
        </w:rPr>
        <w:t>DHFR-TS</w:t>
      </w:r>
      <w:r w:rsidRPr="00B82C29">
        <w:rPr>
          <w:rFonts w:asciiTheme="minorHAnsi" w:hAnsiTheme="minorHAnsi" w:cstheme="minorHAnsi"/>
        </w:rPr>
        <w:t xml:space="preserve"> is necessary for parasite survival, making this enzyme a promising target for new treatment approaches. The objective of the present study is to produce, purify and characterize the bifunctional enzyme DHFR-TS of Leishmania major and to perform functional studies on its isolated domains. For this purpose the pET-15b-TEV-</w:t>
      </w:r>
      <w:r w:rsidRPr="00B82C29">
        <w:rPr>
          <w:rFonts w:asciiTheme="minorHAnsi" w:hAnsiTheme="minorHAnsi" w:cstheme="minorHAnsi"/>
          <w:i/>
          <w:iCs/>
        </w:rPr>
        <w:t>Lm</w:t>
      </w:r>
      <w:r w:rsidRPr="00B82C29">
        <w:rPr>
          <w:rFonts w:asciiTheme="minorHAnsi" w:hAnsiTheme="minorHAnsi" w:cstheme="minorHAnsi"/>
        </w:rPr>
        <w:t>DHFR-TS and pET-15b-TEV-</w:t>
      </w:r>
      <w:r w:rsidRPr="00B82C29">
        <w:rPr>
          <w:rFonts w:asciiTheme="minorHAnsi" w:hAnsiTheme="minorHAnsi" w:cstheme="minorHAnsi"/>
          <w:i/>
          <w:iCs/>
        </w:rPr>
        <w:t>Lm</w:t>
      </w:r>
      <w:r w:rsidRPr="00B82C29">
        <w:rPr>
          <w:rFonts w:asciiTheme="minorHAnsi" w:hAnsiTheme="minorHAnsi" w:cstheme="minorHAnsi"/>
        </w:rPr>
        <w:t xml:space="preserve">DHFR plasmids were employed for the production of wild-type enzymes in </w:t>
      </w:r>
      <w:r w:rsidRPr="00B82C29">
        <w:rPr>
          <w:rFonts w:asciiTheme="minorHAnsi" w:hAnsiTheme="minorHAnsi" w:cstheme="minorHAnsi"/>
          <w:i/>
        </w:rPr>
        <w:t>E. coli</w:t>
      </w:r>
      <w:r w:rsidRPr="00B82C29">
        <w:rPr>
          <w:rFonts w:asciiTheme="minorHAnsi" w:hAnsiTheme="minorHAnsi" w:cstheme="minorHAnsi"/>
        </w:rPr>
        <w:t xml:space="preserve"> ArcticExpress (DE3) cells. The enzymes were purified using nickel-affinity and size exclusion chromatography. Five different mutants were generated by site-directed mutagenesis in the </w:t>
      </w:r>
      <w:r w:rsidRPr="00B82C29">
        <w:rPr>
          <w:rFonts w:asciiTheme="minorHAnsi" w:hAnsiTheme="minorHAnsi" w:cstheme="minorHAnsi"/>
          <w:i/>
          <w:iCs/>
        </w:rPr>
        <w:t>DHFR</w:t>
      </w:r>
      <w:r w:rsidRPr="00B82C29">
        <w:rPr>
          <w:rFonts w:asciiTheme="minorHAnsi" w:hAnsiTheme="minorHAnsi" w:cstheme="minorHAnsi"/>
        </w:rPr>
        <w:t xml:space="preserve"> active site of both the bifunctional enzyme and the isolated </w:t>
      </w:r>
      <w:r w:rsidRPr="00B82C29">
        <w:rPr>
          <w:rFonts w:asciiTheme="minorHAnsi" w:hAnsiTheme="minorHAnsi" w:cstheme="minorHAnsi"/>
          <w:i/>
          <w:iCs/>
        </w:rPr>
        <w:t>Lm</w:t>
      </w:r>
      <w:r w:rsidRPr="00B82C29">
        <w:rPr>
          <w:rFonts w:asciiTheme="minorHAnsi" w:hAnsiTheme="minorHAnsi" w:cstheme="minorHAnsi"/>
        </w:rPr>
        <w:t>DHFR</w:t>
      </w:r>
      <w:r w:rsidRPr="00B82C29">
        <w:rPr>
          <w:rFonts w:asciiTheme="minorHAnsi" w:hAnsiTheme="minorHAnsi" w:cstheme="minorHAnsi"/>
          <w:i/>
          <w:iCs/>
        </w:rPr>
        <w:t xml:space="preserve"> </w:t>
      </w:r>
      <w:r w:rsidRPr="00B82C29">
        <w:rPr>
          <w:rFonts w:asciiTheme="minorHAnsi" w:hAnsiTheme="minorHAnsi" w:cstheme="minorHAnsi"/>
        </w:rPr>
        <w:t>domain to investigate their functional role in the catalyzed reaction. The production and kinetic characterization of the point mutant enzymes will be performed in accordance with the protocols established for the parent wild-type proteins. This study will facilitate a deeper understanding of the functional roles of mutations in the DHFR active site in the catalysis reaction and provide insights for designing more effective selective inhibitors.</w:t>
      </w:r>
    </w:p>
    <w:p w14:paraId="12A4AA5A" w14:textId="77777777" w:rsidR="00570397" w:rsidRPr="00B82C29" w:rsidRDefault="00570397" w:rsidP="00570397">
      <w:pPr>
        <w:rPr>
          <w:rFonts w:asciiTheme="minorHAnsi" w:hAnsiTheme="minorHAnsi" w:cstheme="minorHAnsi"/>
          <w:sz w:val="28"/>
          <w:szCs w:val="28"/>
        </w:rPr>
      </w:pPr>
    </w:p>
    <w:p w14:paraId="611DB82E" w14:textId="3CAED29B" w:rsidR="00570397" w:rsidRPr="006904D0" w:rsidRDefault="00570397" w:rsidP="00570397">
      <w:pPr>
        <w:rPr>
          <w:rFonts w:asciiTheme="minorHAnsi" w:hAnsiTheme="minorHAnsi" w:cstheme="minorHAnsi"/>
          <w:b/>
          <w:bCs/>
          <w:sz w:val="22"/>
          <w:szCs w:val="22"/>
        </w:rPr>
      </w:pPr>
      <w:r w:rsidRPr="006904D0">
        <w:rPr>
          <w:rFonts w:asciiTheme="minorHAnsi" w:hAnsiTheme="minorHAnsi" w:cstheme="minorHAnsi"/>
          <w:b/>
          <w:bCs/>
          <w:sz w:val="22"/>
          <w:szCs w:val="22"/>
        </w:rPr>
        <w:t>References</w:t>
      </w:r>
    </w:p>
    <w:p w14:paraId="4C2FB33F" w14:textId="041F37DD" w:rsidR="00570397" w:rsidRPr="006904D0" w:rsidRDefault="00570397" w:rsidP="00570397">
      <w:pPr>
        <w:jc w:val="both"/>
        <w:rPr>
          <w:rFonts w:asciiTheme="minorHAnsi" w:hAnsiTheme="minorHAnsi" w:cstheme="minorHAnsi"/>
          <w:spacing w:val="2"/>
          <w:sz w:val="22"/>
          <w:szCs w:val="22"/>
          <w:shd w:val="clear" w:color="auto" w:fill="FFFFFF"/>
        </w:rPr>
      </w:pPr>
      <w:r w:rsidRPr="00EB3011">
        <w:rPr>
          <w:rFonts w:asciiTheme="minorHAnsi" w:hAnsiTheme="minorHAnsi" w:cstheme="minorHAnsi"/>
          <w:spacing w:val="2"/>
          <w:sz w:val="22"/>
          <w:szCs w:val="22"/>
          <w:shd w:val="clear" w:color="auto" w:fill="FFFFFF"/>
        </w:rPr>
        <w:t>[1] Mann, S., Frasca, K., Scherrer, S., Henao-Martínez, A. F., Newman, S</w:t>
      </w:r>
      <w:r>
        <w:rPr>
          <w:rFonts w:asciiTheme="minorHAnsi" w:hAnsiTheme="minorHAnsi" w:cstheme="minorHAnsi"/>
          <w:spacing w:val="2"/>
          <w:sz w:val="22"/>
          <w:szCs w:val="22"/>
          <w:shd w:val="clear" w:color="auto" w:fill="FFFFFF"/>
        </w:rPr>
        <w:t xml:space="preserve">., Ramanan, P., &amp; Suarez, J. A. </w:t>
      </w:r>
      <w:r w:rsidRPr="00EB3011">
        <w:rPr>
          <w:rFonts w:asciiTheme="minorHAnsi" w:hAnsiTheme="minorHAnsi" w:cstheme="minorHAnsi"/>
          <w:spacing w:val="2"/>
          <w:sz w:val="22"/>
          <w:szCs w:val="22"/>
          <w:shd w:val="clear" w:color="auto" w:fill="FFFFFF"/>
        </w:rPr>
        <w:t>(2021). A review of leishmaniasis: current knowledge and future directions. Current tropical medicine</w:t>
      </w:r>
      <w:r>
        <w:rPr>
          <w:rFonts w:asciiTheme="minorHAnsi" w:hAnsiTheme="minorHAnsi" w:cstheme="minorHAnsi"/>
          <w:spacing w:val="2"/>
          <w:sz w:val="22"/>
          <w:szCs w:val="22"/>
          <w:shd w:val="clear" w:color="auto" w:fill="FFFFFF"/>
        </w:rPr>
        <w:t xml:space="preserve"> </w:t>
      </w:r>
      <w:r w:rsidRPr="00EB3011">
        <w:rPr>
          <w:rFonts w:asciiTheme="minorHAnsi" w:hAnsiTheme="minorHAnsi" w:cstheme="minorHAnsi"/>
          <w:spacing w:val="2"/>
          <w:sz w:val="22"/>
          <w:szCs w:val="22"/>
          <w:shd w:val="clear" w:color="auto" w:fill="FFFFFF"/>
        </w:rPr>
        <w:t xml:space="preserve">reports, 8, 121-132. </w:t>
      </w:r>
      <w:r>
        <w:rPr>
          <w:rFonts w:asciiTheme="minorHAnsi" w:hAnsiTheme="minorHAnsi" w:cstheme="minorHAnsi"/>
          <w:spacing w:val="2"/>
          <w:sz w:val="22"/>
          <w:szCs w:val="22"/>
          <w:shd w:val="clear" w:color="auto" w:fill="FFFFFF"/>
        </w:rPr>
        <w:t xml:space="preserve"> [2]</w:t>
      </w:r>
      <w:r w:rsidRPr="00EB3011">
        <w:rPr>
          <w:rFonts w:asciiTheme="minorHAnsi" w:hAnsiTheme="minorHAnsi" w:cstheme="minorHAnsi"/>
          <w:spacing w:val="2"/>
          <w:sz w:val="22"/>
          <w:szCs w:val="22"/>
          <w:shd w:val="clear" w:color="auto" w:fill="FFFFFF"/>
        </w:rPr>
        <w:t xml:space="preserve"> Shamshad, H., Bakri, R., &amp; Mirza, A. Z. (2022). Dihydrofolate reductase, thymidylate synthase, and</w:t>
      </w:r>
      <w:r>
        <w:rPr>
          <w:rFonts w:asciiTheme="minorHAnsi" w:hAnsiTheme="minorHAnsi" w:cstheme="minorHAnsi"/>
          <w:spacing w:val="2"/>
          <w:sz w:val="22"/>
          <w:szCs w:val="22"/>
          <w:shd w:val="clear" w:color="auto" w:fill="FFFFFF"/>
        </w:rPr>
        <w:t xml:space="preserve"> </w:t>
      </w:r>
      <w:r w:rsidRPr="00EB3011">
        <w:rPr>
          <w:rFonts w:asciiTheme="minorHAnsi" w:hAnsiTheme="minorHAnsi" w:cstheme="minorHAnsi"/>
          <w:spacing w:val="2"/>
          <w:sz w:val="22"/>
          <w:szCs w:val="22"/>
          <w:shd w:val="clear" w:color="auto" w:fill="FFFFFF"/>
        </w:rPr>
        <w:t>serine hydroxy methyltransferase: Successful targets against some infectious diseases. Molecular Biology</w:t>
      </w:r>
      <w:r>
        <w:rPr>
          <w:rFonts w:asciiTheme="minorHAnsi" w:hAnsiTheme="minorHAnsi" w:cstheme="minorHAnsi"/>
          <w:spacing w:val="2"/>
          <w:sz w:val="22"/>
          <w:szCs w:val="22"/>
          <w:shd w:val="clear" w:color="auto" w:fill="FFFFFF"/>
        </w:rPr>
        <w:t xml:space="preserve"> Reports, 49(7), 6659-6691. </w:t>
      </w:r>
    </w:p>
    <w:p w14:paraId="5CFC5F5C" w14:textId="77777777" w:rsidR="00570397" w:rsidRPr="006904D0" w:rsidRDefault="00570397" w:rsidP="00570397">
      <w:pPr>
        <w:rPr>
          <w:rFonts w:asciiTheme="minorHAnsi" w:hAnsiTheme="minorHAnsi" w:cstheme="minorHAnsi"/>
          <w:spacing w:val="2"/>
          <w:sz w:val="22"/>
          <w:szCs w:val="22"/>
          <w:shd w:val="clear" w:color="auto" w:fill="FFFFFF"/>
        </w:rPr>
      </w:pPr>
    </w:p>
    <w:p w14:paraId="221C5204" w14:textId="5AC64A5A" w:rsidR="00570397" w:rsidRPr="006904D0" w:rsidRDefault="00570397" w:rsidP="00570397">
      <w:pPr>
        <w:rPr>
          <w:rFonts w:asciiTheme="minorHAnsi" w:hAnsiTheme="minorHAnsi" w:cstheme="minorHAnsi"/>
          <w:b/>
          <w:bCs/>
          <w:spacing w:val="2"/>
          <w:sz w:val="22"/>
          <w:szCs w:val="22"/>
          <w:shd w:val="clear" w:color="auto" w:fill="FFFFFF"/>
        </w:rPr>
      </w:pPr>
      <w:r w:rsidRPr="006904D0">
        <w:rPr>
          <w:rFonts w:asciiTheme="minorHAnsi" w:hAnsiTheme="minorHAnsi" w:cstheme="minorHAnsi"/>
          <w:b/>
          <w:bCs/>
          <w:spacing w:val="2"/>
          <w:sz w:val="22"/>
          <w:szCs w:val="22"/>
          <w:shd w:val="clear" w:color="auto" w:fill="FFFFFF"/>
        </w:rPr>
        <w:t>Acknowledgment</w:t>
      </w:r>
    </w:p>
    <w:p w14:paraId="76E188D9" w14:textId="039C1E0F" w:rsidR="00A80114" w:rsidRPr="00570397" w:rsidRDefault="00570397" w:rsidP="00570397">
      <w:pPr>
        <w:jc w:val="both"/>
        <w:rPr>
          <w:rFonts w:asciiTheme="minorHAnsi" w:hAnsiTheme="minorHAnsi" w:cstheme="minorHAnsi"/>
          <w:sz w:val="22"/>
          <w:szCs w:val="22"/>
        </w:rPr>
      </w:pPr>
      <w:r w:rsidRPr="008A5BA8">
        <w:rPr>
          <w:rFonts w:asciiTheme="minorHAnsi" w:hAnsiTheme="minorHAnsi" w:cstheme="minorHAnsi"/>
          <w:spacing w:val="2"/>
          <w:sz w:val="22"/>
          <w:szCs w:val="22"/>
          <w:shd w:val="clear" w:color="auto" w:fill="FFFFFF"/>
        </w:rPr>
        <w:lastRenderedPageBreak/>
        <w:t>The authors acknowledge the financial support provided by COST Action CA21111 OneHealthdrugs.</w:t>
      </w:r>
      <w:r w:rsidR="00A80114">
        <w:rPr>
          <w:rFonts w:ascii="Calibri" w:hAnsi="Calibri" w:cs="Calibri"/>
          <w:sz w:val="22"/>
          <w:szCs w:val="22"/>
        </w:rPr>
        <w:br w:type="page"/>
      </w:r>
    </w:p>
    <w:p w14:paraId="005D7025" w14:textId="77777777" w:rsidR="00FC5785" w:rsidRDefault="00FC5785" w:rsidP="00FC5785">
      <w:pPr>
        <w:rPr>
          <w:rFonts w:ascii="Calibri" w:hAnsi="Calibri" w:cs="Calibri"/>
          <w:sz w:val="22"/>
          <w:szCs w:val="22"/>
        </w:rPr>
      </w:pPr>
    </w:p>
    <w:p w14:paraId="4AC942DD" w14:textId="7F448060" w:rsidR="00A80114" w:rsidRDefault="00A80114" w:rsidP="00A80114">
      <w:pPr>
        <w:spacing w:line="264" w:lineRule="auto"/>
        <w:jc w:val="center"/>
        <w:rPr>
          <w:rFonts w:ascii="Calibri" w:hAnsi="Calibri" w:cs="Calibri"/>
          <w:b/>
          <w:bCs/>
          <w:color w:val="2E74B5" w:themeColor="accent5" w:themeShade="BF"/>
          <w:lang w:val="en-GB"/>
        </w:rPr>
      </w:pPr>
      <w:r w:rsidRPr="00A80114">
        <w:rPr>
          <w:rFonts w:ascii="Calibri" w:hAnsi="Calibri" w:cs="Calibri"/>
          <w:b/>
          <w:bCs/>
          <w:color w:val="2E74B5" w:themeColor="accent5" w:themeShade="BF"/>
          <w:lang w:val="en-GB"/>
        </w:rPr>
        <w:t>A drug discovery journey: exploring N6-Methyltubercidin as an alternative antileishmanial drug treatment in a cutaneous Leishmania amazonensis mouse model</w:t>
      </w:r>
    </w:p>
    <w:p w14:paraId="42D8F680" w14:textId="77777777" w:rsidR="00A80114" w:rsidRPr="00A80114" w:rsidRDefault="00A80114" w:rsidP="00A80114">
      <w:pPr>
        <w:spacing w:line="264" w:lineRule="auto"/>
        <w:jc w:val="center"/>
        <w:rPr>
          <w:rFonts w:ascii="Calibri" w:hAnsi="Calibri" w:cs="Calibri"/>
          <w:b/>
          <w:bCs/>
          <w:color w:val="000000" w:themeColor="text1"/>
        </w:rPr>
      </w:pPr>
    </w:p>
    <w:p w14:paraId="361B72AF" w14:textId="77777777" w:rsidR="00A80114" w:rsidRPr="00A80114" w:rsidRDefault="00A80114" w:rsidP="00A80114">
      <w:pPr>
        <w:jc w:val="center"/>
        <w:rPr>
          <w:rFonts w:ascii="Calibri" w:hAnsi="Calibri" w:cs="Calibri"/>
          <w:lang w:val="pt-PT"/>
        </w:rPr>
      </w:pPr>
      <w:r w:rsidRPr="00A80114">
        <w:rPr>
          <w:rFonts w:ascii="Calibri" w:hAnsi="Calibri" w:cs="Calibri"/>
          <w:color w:val="000000"/>
          <w:u w:val="single"/>
          <w:lang w:val="pt-PT"/>
        </w:rPr>
        <w:t>Present C</w:t>
      </w:r>
      <w:r w:rsidRPr="00A80114">
        <w:rPr>
          <w:rFonts w:ascii="Calibri" w:hAnsi="Calibri" w:cs="Calibri"/>
          <w:color w:val="000000"/>
          <w:lang w:val="pt-PT"/>
        </w:rPr>
        <w:t xml:space="preserve">., Girão R.D., Lin C., Caljon G. Van Calenbergh S., Moreira O., Ruivo L.A.S., Batista M.M., Azevedo R., Batista D.G.J. Soeiro M.N.C. </w:t>
      </w:r>
    </w:p>
    <w:p w14:paraId="560B6B94" w14:textId="77777777" w:rsidR="00A80114" w:rsidRPr="00B82C29" w:rsidRDefault="00A80114" w:rsidP="00A80114">
      <w:pPr>
        <w:jc w:val="center"/>
        <w:rPr>
          <w:rFonts w:ascii="Calibri" w:hAnsi="Calibri" w:cs="Calibri"/>
          <w:color w:val="000000"/>
          <w:sz w:val="22"/>
          <w:szCs w:val="22"/>
          <w:lang w:val="pt-PT"/>
        </w:rPr>
      </w:pPr>
      <w:r w:rsidRPr="00B44796">
        <w:rPr>
          <w:rFonts w:ascii="Calibri" w:hAnsi="Calibri" w:cs="Calibri"/>
          <w:color w:val="000000"/>
          <w:vertAlign w:val="superscript"/>
          <w:lang w:val="pt-PT"/>
        </w:rPr>
        <w:t xml:space="preserve">a </w:t>
      </w:r>
      <w:r w:rsidRPr="00B82C29">
        <w:rPr>
          <w:rFonts w:ascii="Calibri" w:hAnsi="Calibri" w:cs="Calibri"/>
          <w:color w:val="000000"/>
          <w:sz w:val="22"/>
          <w:szCs w:val="22"/>
          <w:lang w:val="pt-PT"/>
        </w:rPr>
        <w:t xml:space="preserve">Laboratório de Biologia Celular, Instituto Oswaldo Cruz, Fundação Oswaldo Cruz, Brazil </w:t>
      </w:r>
      <w:r w:rsidRPr="00B82C29">
        <w:rPr>
          <w:rFonts w:ascii="Calibri" w:hAnsi="Calibri" w:cs="Calibri"/>
          <w:color w:val="000000"/>
          <w:sz w:val="22"/>
          <w:szCs w:val="22"/>
          <w:vertAlign w:val="superscript"/>
          <w:lang w:val="pt-PT"/>
        </w:rPr>
        <w:t xml:space="preserve">b </w:t>
      </w:r>
      <w:r w:rsidRPr="00B82C29">
        <w:rPr>
          <w:rFonts w:ascii="Calibri" w:hAnsi="Calibri" w:cs="Calibri"/>
          <w:color w:val="000000"/>
          <w:sz w:val="22"/>
          <w:szCs w:val="22"/>
          <w:lang w:val="pt-PT"/>
        </w:rPr>
        <w:t xml:space="preserve">Laboratory of Microbiology, Parasitology and Hygiene, University of Antwerp, Belgium </w:t>
      </w:r>
      <w:r w:rsidRPr="00B82C29">
        <w:rPr>
          <w:rFonts w:ascii="Calibri" w:hAnsi="Calibri" w:cs="Calibri"/>
          <w:color w:val="000000"/>
          <w:sz w:val="22"/>
          <w:szCs w:val="22"/>
          <w:vertAlign w:val="superscript"/>
          <w:lang w:val="pt-PT"/>
        </w:rPr>
        <w:t>c</w:t>
      </w:r>
      <w:r w:rsidRPr="00B82C29">
        <w:rPr>
          <w:rFonts w:ascii="Calibri" w:hAnsi="Calibri" w:cs="Calibri"/>
          <w:color w:val="000000"/>
          <w:sz w:val="22"/>
          <w:szCs w:val="22"/>
          <w:lang w:val="pt-PT"/>
        </w:rPr>
        <w:t xml:space="preserve"> Laboratory for Medicinal Chemistry, Ghent University, Belgium </w:t>
      </w:r>
      <w:r w:rsidRPr="00B82C29">
        <w:rPr>
          <w:rFonts w:ascii="Calibri" w:hAnsi="Calibri" w:cs="Calibri"/>
          <w:color w:val="000000"/>
          <w:sz w:val="22"/>
          <w:szCs w:val="22"/>
          <w:vertAlign w:val="superscript"/>
          <w:lang w:val="pt-PT"/>
        </w:rPr>
        <w:t>d</w:t>
      </w:r>
      <w:r w:rsidRPr="00B82C29">
        <w:rPr>
          <w:rFonts w:ascii="Calibri" w:hAnsi="Calibri" w:cs="Calibri"/>
          <w:color w:val="000000"/>
          <w:sz w:val="22"/>
          <w:szCs w:val="22"/>
          <w:lang w:val="pt-PT"/>
        </w:rPr>
        <w:t xml:space="preserve"> Laboratório de Virologia e Parasitologia Molecular, Instituto Oswaldo Cruz, Fundação Oswaldo Cruz, Brazil</w:t>
      </w:r>
    </w:p>
    <w:p w14:paraId="0F2AFBF6" w14:textId="77777777" w:rsidR="00A80114" w:rsidRPr="00B82C29" w:rsidRDefault="00A80114" w:rsidP="00A80114">
      <w:pPr>
        <w:jc w:val="center"/>
        <w:rPr>
          <w:rFonts w:ascii="Calibri" w:hAnsi="Calibri" w:cs="Calibri"/>
          <w:color w:val="000000"/>
          <w:sz w:val="22"/>
          <w:szCs w:val="22"/>
        </w:rPr>
      </w:pPr>
      <w:r w:rsidRPr="00B82C29">
        <w:rPr>
          <w:rFonts w:ascii="Calibri" w:hAnsi="Calibri" w:cs="Calibri"/>
          <w:color w:val="000000"/>
          <w:sz w:val="22"/>
          <w:szCs w:val="22"/>
        </w:rPr>
        <w:t>Cassandra.Present@uantwerpen.be</w:t>
      </w:r>
    </w:p>
    <w:p w14:paraId="107A2D82" w14:textId="2E779294" w:rsidR="00FC5785" w:rsidRDefault="00FC5785" w:rsidP="00FC5785">
      <w:pPr>
        <w:spacing w:line="264" w:lineRule="auto"/>
        <w:jc w:val="both"/>
        <w:rPr>
          <w:rFonts w:ascii="Calibri" w:hAnsi="Calibri" w:cs="Calibri"/>
          <w:b/>
          <w:bCs/>
          <w:color w:val="000000" w:themeColor="text1"/>
          <w:lang w:val="en-GB"/>
        </w:rPr>
      </w:pPr>
    </w:p>
    <w:p w14:paraId="0F4F5356" w14:textId="31A2747C" w:rsidR="00A80114" w:rsidRPr="00B82C29" w:rsidRDefault="00A80114" w:rsidP="00A80114">
      <w:pPr>
        <w:jc w:val="both"/>
        <w:rPr>
          <w:rFonts w:asciiTheme="minorHAnsi" w:hAnsiTheme="minorHAnsi" w:cstheme="minorHAnsi"/>
        </w:rPr>
      </w:pPr>
      <w:r w:rsidRPr="00B82C29">
        <w:rPr>
          <w:rFonts w:asciiTheme="minorHAnsi" w:hAnsiTheme="minorHAnsi" w:cstheme="minorHAnsi"/>
          <w:lang w:val="en-GB"/>
        </w:rPr>
        <w:t xml:space="preserve">Cutaneous leishmaniasis is a neglected tropical disease caused by the intracellular protozoan parasite </w:t>
      </w:r>
      <w:r w:rsidRPr="00B82C29">
        <w:rPr>
          <w:rFonts w:asciiTheme="minorHAnsi" w:hAnsiTheme="minorHAnsi" w:cstheme="minorHAnsi"/>
          <w:i/>
          <w:iCs/>
          <w:lang w:val="en-GB"/>
        </w:rPr>
        <w:t>Leishmania</w:t>
      </w:r>
      <w:r w:rsidRPr="00B82C29">
        <w:rPr>
          <w:rFonts w:asciiTheme="minorHAnsi" w:hAnsiTheme="minorHAnsi" w:cstheme="minorHAnsi"/>
          <w:lang w:val="en-GB"/>
        </w:rPr>
        <w:t xml:space="preserve">. It is transmitted when female sand flies bite mammalian hosts (e.g. humans), to obtain a bloodmeal. The disease mainly occurs in (sub)tropical areas but is spreading to previously unaffected areas. Currently, there are a few antileishmanial drug treatments available, e.g. antimonials, amphotericin B, miltefosine and paromomycin. However, these drugs have multiple practical shortcomings, their mode of action is unknown or poorly understood, or they face the development of drug resistance. Therefore, it is essential to develop new antileishmanial drug treatments. Nucleoside analogues are considered promising alternatives. Since </w:t>
      </w:r>
      <w:r w:rsidRPr="00B82C29">
        <w:rPr>
          <w:rFonts w:asciiTheme="minorHAnsi" w:hAnsiTheme="minorHAnsi" w:cstheme="minorHAnsi"/>
          <w:i/>
          <w:iCs/>
          <w:lang w:val="en-GB"/>
        </w:rPr>
        <w:t>Leishmania</w:t>
      </w:r>
      <w:r w:rsidRPr="00B82C29">
        <w:rPr>
          <w:rFonts w:asciiTheme="minorHAnsi" w:hAnsiTheme="minorHAnsi" w:cstheme="minorHAnsi"/>
          <w:lang w:val="en-GB"/>
        </w:rPr>
        <w:t xml:space="preserve"> parasites are unable to synthesise their own purines </w:t>
      </w:r>
      <w:r w:rsidRPr="00B82C29">
        <w:rPr>
          <w:rFonts w:asciiTheme="minorHAnsi" w:hAnsiTheme="minorHAnsi" w:cstheme="minorHAnsi"/>
          <w:i/>
          <w:iCs/>
          <w:lang w:val="en-GB"/>
        </w:rPr>
        <w:t>de novo</w:t>
      </w:r>
      <w:r w:rsidRPr="00B82C29">
        <w:rPr>
          <w:rFonts w:asciiTheme="minorHAnsi" w:hAnsiTheme="minorHAnsi" w:cstheme="minorHAnsi"/>
          <w:lang w:val="en-GB"/>
        </w:rPr>
        <w:t xml:space="preserve">, they rely completely on salvaging purines from the host. This process provides interesting targets for drug discovery of new antileishmanial compounds. In this project, we explored the </w:t>
      </w:r>
      <w:r w:rsidRPr="00B82C29">
        <w:rPr>
          <w:rFonts w:asciiTheme="minorHAnsi" w:hAnsiTheme="minorHAnsi" w:cstheme="minorHAnsi"/>
          <w:i/>
          <w:iCs/>
          <w:lang w:val="en-GB"/>
        </w:rPr>
        <w:t>in vitro</w:t>
      </w:r>
      <w:r w:rsidRPr="00B82C29">
        <w:rPr>
          <w:rFonts w:asciiTheme="minorHAnsi" w:hAnsiTheme="minorHAnsi" w:cstheme="minorHAnsi"/>
          <w:lang w:val="en-GB"/>
        </w:rPr>
        <w:t xml:space="preserve"> and </w:t>
      </w:r>
      <w:r w:rsidRPr="00B82C29">
        <w:rPr>
          <w:rFonts w:asciiTheme="minorHAnsi" w:hAnsiTheme="minorHAnsi" w:cstheme="minorHAnsi"/>
          <w:i/>
          <w:iCs/>
          <w:lang w:val="en-GB"/>
        </w:rPr>
        <w:t>in vivo</w:t>
      </w:r>
      <w:r w:rsidRPr="00B82C29">
        <w:rPr>
          <w:rFonts w:asciiTheme="minorHAnsi" w:hAnsiTheme="minorHAnsi" w:cstheme="minorHAnsi"/>
          <w:lang w:val="en-GB"/>
        </w:rPr>
        <w:t xml:space="preserve"> activity of N</w:t>
      </w:r>
      <w:r w:rsidRPr="00B82C29">
        <w:rPr>
          <w:rFonts w:asciiTheme="minorHAnsi" w:hAnsiTheme="minorHAnsi" w:cstheme="minorHAnsi"/>
          <w:vertAlign w:val="superscript"/>
          <w:lang w:val="en-GB"/>
        </w:rPr>
        <w:t>6</w:t>
      </w:r>
      <w:r w:rsidRPr="00B82C29">
        <w:rPr>
          <w:rFonts w:asciiTheme="minorHAnsi" w:hAnsiTheme="minorHAnsi" w:cstheme="minorHAnsi"/>
          <w:lang w:val="en-GB"/>
        </w:rPr>
        <w:t xml:space="preserve">-methyltubercidin (CL5564), against </w:t>
      </w:r>
      <w:r w:rsidRPr="00B82C29">
        <w:rPr>
          <w:rFonts w:asciiTheme="minorHAnsi" w:hAnsiTheme="minorHAnsi" w:cstheme="minorHAnsi"/>
          <w:i/>
          <w:iCs/>
          <w:lang w:val="en-GB"/>
        </w:rPr>
        <w:t>L. amazonensis</w:t>
      </w:r>
      <w:r w:rsidRPr="00B82C29">
        <w:rPr>
          <w:rFonts w:asciiTheme="minorHAnsi" w:hAnsiTheme="minorHAnsi" w:cstheme="minorHAnsi"/>
          <w:lang w:val="en-GB"/>
        </w:rPr>
        <w:t xml:space="preserve">, after it demonstrated potent activity against </w:t>
      </w:r>
      <w:r w:rsidRPr="00B82C29">
        <w:rPr>
          <w:rFonts w:asciiTheme="minorHAnsi" w:hAnsiTheme="minorHAnsi" w:cstheme="minorHAnsi"/>
          <w:i/>
          <w:iCs/>
          <w:lang w:val="en-GB"/>
        </w:rPr>
        <w:t>Trypanosoma cruzi</w:t>
      </w:r>
      <w:r w:rsidRPr="00B82C29">
        <w:rPr>
          <w:rFonts w:asciiTheme="minorHAnsi" w:hAnsiTheme="minorHAnsi" w:cstheme="minorHAnsi"/>
          <w:lang w:val="en-GB"/>
        </w:rPr>
        <w:t xml:space="preserve"> and </w:t>
      </w:r>
      <w:r w:rsidRPr="00B82C29">
        <w:rPr>
          <w:rFonts w:asciiTheme="minorHAnsi" w:hAnsiTheme="minorHAnsi" w:cstheme="minorHAnsi"/>
          <w:i/>
          <w:iCs/>
          <w:lang w:val="en-GB"/>
        </w:rPr>
        <w:t>L. infantum</w:t>
      </w:r>
      <w:r w:rsidRPr="00B82C29">
        <w:rPr>
          <w:rFonts w:asciiTheme="minorHAnsi" w:hAnsiTheme="minorHAnsi" w:cstheme="minorHAnsi"/>
          <w:lang w:val="en-GB"/>
        </w:rPr>
        <w:t xml:space="preserve">. With selectivity indices of 278 and 43, respectively, CL5564 was 6.5 -fold (p = 0.0002) more potent than miltefosine against intracellular amastigote forms in peritoneal mouse macrophages. Combination treatment of CL5564 and miltefosine on </w:t>
      </w:r>
      <w:r w:rsidRPr="00B82C29">
        <w:rPr>
          <w:rFonts w:asciiTheme="minorHAnsi" w:hAnsiTheme="minorHAnsi" w:cstheme="minorHAnsi"/>
          <w:i/>
          <w:iCs/>
          <w:lang w:val="en-GB"/>
        </w:rPr>
        <w:t>ex vivo</w:t>
      </w:r>
      <w:r w:rsidRPr="00B82C29">
        <w:rPr>
          <w:rFonts w:asciiTheme="minorHAnsi" w:hAnsiTheme="minorHAnsi" w:cstheme="minorHAnsi"/>
          <w:lang w:val="en-GB"/>
        </w:rPr>
        <w:t xml:space="preserve"> amastigotes resulted in an additive effect. These results stimulated us to study the activity of CL5564 in a mouse model of cutaneous </w:t>
      </w:r>
      <w:r w:rsidRPr="00B82C29">
        <w:rPr>
          <w:rFonts w:asciiTheme="minorHAnsi" w:hAnsiTheme="minorHAnsi" w:cstheme="minorHAnsi"/>
          <w:i/>
          <w:iCs/>
          <w:lang w:val="en-GB"/>
        </w:rPr>
        <w:t>Leishmania</w:t>
      </w:r>
      <w:r w:rsidRPr="00B82C29">
        <w:rPr>
          <w:rFonts w:asciiTheme="minorHAnsi" w:hAnsiTheme="minorHAnsi" w:cstheme="minorHAnsi"/>
          <w:lang w:val="en-GB"/>
        </w:rPr>
        <w:t xml:space="preserve"> infection: BALB/c female and male mice infected by </w:t>
      </w:r>
      <w:r w:rsidRPr="00B82C29">
        <w:rPr>
          <w:rFonts w:asciiTheme="minorHAnsi" w:hAnsiTheme="minorHAnsi" w:cstheme="minorHAnsi"/>
          <w:i/>
          <w:iCs/>
          <w:lang w:val="en-GB"/>
        </w:rPr>
        <w:t>L. amazonensis</w:t>
      </w:r>
      <w:r w:rsidRPr="00B82C29">
        <w:rPr>
          <w:rFonts w:asciiTheme="minorHAnsi" w:hAnsiTheme="minorHAnsi" w:cstheme="minorHAnsi"/>
          <w:lang w:val="en-GB"/>
        </w:rPr>
        <w:t xml:space="preserve"> and </w:t>
      </w:r>
      <w:r w:rsidRPr="00B82C29">
        <w:rPr>
          <w:rFonts w:asciiTheme="minorHAnsi" w:hAnsiTheme="minorHAnsi" w:cstheme="minorHAnsi"/>
        </w:rPr>
        <w:t xml:space="preserve">treated with CL5564 (10 mg/kg, intralesional, five days) presented a &gt;93% reduction of paw lesion size, similar to </w:t>
      </w:r>
      <w:r w:rsidRPr="00B82C29">
        <w:rPr>
          <w:rFonts w:asciiTheme="minorHAnsi" w:hAnsiTheme="minorHAnsi" w:cstheme="minorHAnsi"/>
          <w:lang w:val="en-GB"/>
        </w:rPr>
        <w:t>Milteforan</w:t>
      </w:r>
      <w:r w:rsidRPr="00B82C29">
        <w:rPr>
          <w:rFonts w:asciiTheme="minorHAnsi" w:hAnsiTheme="minorHAnsi" w:cstheme="minorHAnsi"/>
          <w:vertAlign w:val="superscript"/>
          <w:lang w:val="en-GB"/>
        </w:rPr>
        <w:t>TM</w:t>
      </w:r>
      <w:r w:rsidRPr="00B82C29">
        <w:rPr>
          <w:rFonts w:asciiTheme="minorHAnsi" w:hAnsiTheme="minorHAnsi" w:cstheme="minorHAnsi"/>
          <w:lang w:val="en-GB"/>
        </w:rPr>
        <w:t xml:space="preserve"> </w:t>
      </w:r>
      <w:r w:rsidRPr="00B82C29">
        <w:rPr>
          <w:rFonts w:asciiTheme="minorHAnsi" w:hAnsiTheme="minorHAnsi" w:cstheme="minorHAnsi"/>
        </w:rPr>
        <w:t xml:space="preserve">given orally at 40 mg/kg, while the combination (10 + 40 mg/kg of CL5564 and </w:t>
      </w:r>
      <w:r w:rsidRPr="00B82C29">
        <w:rPr>
          <w:rFonts w:asciiTheme="minorHAnsi" w:hAnsiTheme="minorHAnsi" w:cstheme="minorHAnsi"/>
          <w:lang w:val="en-GB"/>
        </w:rPr>
        <w:t>Milteforan</w:t>
      </w:r>
      <w:r w:rsidRPr="00B82C29">
        <w:rPr>
          <w:rFonts w:asciiTheme="minorHAnsi" w:hAnsiTheme="minorHAnsi" w:cstheme="minorHAnsi"/>
          <w:vertAlign w:val="superscript"/>
          <w:lang w:val="en-GB"/>
        </w:rPr>
        <w:t>TM</w:t>
      </w:r>
      <w:r w:rsidRPr="00B82C29">
        <w:rPr>
          <w:rFonts w:asciiTheme="minorHAnsi" w:hAnsiTheme="minorHAnsi" w:cstheme="minorHAnsi"/>
        </w:rPr>
        <w:t xml:space="preserve">, respectively) caused &gt;96% reduction. The qPCR data confirmed the suppression of parasite load after treatment, </w:t>
      </w:r>
      <w:r w:rsidRPr="00B82C29">
        <w:rPr>
          <w:rFonts w:asciiTheme="minorHAnsi" w:hAnsiTheme="minorHAnsi" w:cstheme="minorHAnsi"/>
        </w:rPr>
        <w:lastRenderedPageBreak/>
        <w:t xml:space="preserve">but only the combination approach reached 66% of parasitological cure. These results warrant additional studies with nucleoside derivatives. </w:t>
      </w:r>
    </w:p>
    <w:p w14:paraId="083292ED" w14:textId="24C24C40" w:rsidR="00A80114" w:rsidRPr="00A80114" w:rsidRDefault="00A80114" w:rsidP="00A80114">
      <w:pPr>
        <w:rPr>
          <w:rFonts w:ascii="Calibri" w:hAnsi="Calibri" w:cs="Calibri"/>
        </w:rPr>
      </w:pPr>
      <w:r>
        <w:rPr>
          <w:rFonts w:ascii="Calibri" w:hAnsi="Calibri" w:cs="Calibri"/>
          <w:noProof/>
        </w:rPr>
        <w:drawing>
          <wp:anchor distT="0" distB="0" distL="114300" distR="114300" simplePos="0" relativeHeight="251659264" behindDoc="0" locked="0" layoutInCell="1" allowOverlap="1" wp14:anchorId="7974D754" wp14:editId="12759D0A">
            <wp:simplePos x="0" y="0"/>
            <wp:positionH relativeFrom="column">
              <wp:posOffset>-635</wp:posOffset>
            </wp:positionH>
            <wp:positionV relativeFrom="paragraph">
              <wp:posOffset>242570</wp:posOffset>
            </wp:positionV>
            <wp:extent cx="2947035" cy="2082800"/>
            <wp:effectExtent l="0" t="0" r="5715" b="0"/>
            <wp:wrapTopAndBottom/>
            <wp:docPr id="17094353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7035" cy="2082800"/>
                    </a:xfrm>
                    <a:prstGeom prst="rect">
                      <a:avLst/>
                    </a:prstGeom>
                    <a:noFill/>
                  </pic:spPr>
                </pic:pic>
              </a:graphicData>
            </a:graphic>
            <wp14:sizeRelH relativeFrom="margin">
              <wp14:pctWidth>0</wp14:pctWidth>
            </wp14:sizeRelH>
            <wp14:sizeRelV relativeFrom="margin">
              <wp14:pctHeight>0</wp14:pctHeight>
            </wp14:sizeRelV>
          </wp:anchor>
        </w:drawing>
      </w:r>
    </w:p>
    <w:p w14:paraId="173B306B" w14:textId="77777777" w:rsidR="00A80114" w:rsidRDefault="00A80114" w:rsidP="00A80114">
      <w:pPr>
        <w:rPr>
          <w:rFonts w:ascii="Calibri" w:hAnsi="Calibri" w:cs="Calibri"/>
          <w:b/>
          <w:bCs/>
          <w:spacing w:val="2"/>
          <w:sz w:val="22"/>
          <w:szCs w:val="22"/>
          <w:shd w:val="clear" w:color="auto" w:fill="FFFFFF"/>
        </w:rPr>
      </w:pPr>
      <w:r>
        <w:rPr>
          <w:rFonts w:ascii="Calibri" w:hAnsi="Calibri" w:cs="Calibri"/>
          <w:b/>
          <w:bCs/>
          <w:spacing w:val="2"/>
          <w:sz w:val="22"/>
          <w:szCs w:val="22"/>
          <w:shd w:val="clear" w:color="auto" w:fill="FFFFFF"/>
        </w:rPr>
        <w:t>Acknowledgment</w:t>
      </w:r>
    </w:p>
    <w:p w14:paraId="54BD33B0" w14:textId="77777777" w:rsidR="00A80114" w:rsidRPr="00AC0FB2" w:rsidRDefault="00A80114" w:rsidP="00A80114">
      <w:pPr>
        <w:rPr>
          <w:rFonts w:ascii="Calibri" w:hAnsi="Calibri" w:cs="Calibri"/>
          <w:spacing w:val="2"/>
          <w:sz w:val="22"/>
          <w:szCs w:val="22"/>
          <w:shd w:val="clear" w:color="auto" w:fill="FFFFFF"/>
          <w:lang w:val="en-GB"/>
        </w:rPr>
      </w:pPr>
      <w:r w:rsidRPr="00AC0FB2">
        <w:rPr>
          <w:rFonts w:ascii="Calibri" w:hAnsi="Calibri" w:cs="Calibri"/>
          <w:spacing w:val="2"/>
          <w:sz w:val="22"/>
          <w:szCs w:val="22"/>
          <w:shd w:val="clear" w:color="auto" w:fill="FFFFFF"/>
          <w:lang w:val="en-GB"/>
        </w:rPr>
        <w:t xml:space="preserve">The Carlos Chagas Filho Foundation for Research Support of the State of Rio de Janeiro (FAPERJ), National Council for Scientific and Technological Development (CNPq), Oswaldo Cruz Foundation, PAEF/CNPq/Fiocruz, and CAPES funded this study. MNCS and OM are research fellows from CNPq and CNE. </w:t>
      </w:r>
    </w:p>
    <w:p w14:paraId="687CC4F3" w14:textId="713CCF19" w:rsidR="00A80114" w:rsidRDefault="00A80114">
      <w:pPr>
        <w:rPr>
          <w:rFonts w:ascii="Calibri" w:hAnsi="Calibri" w:cs="Calibri"/>
          <w:color w:val="000000" w:themeColor="text1"/>
          <w:lang w:val="en-GB"/>
        </w:rPr>
      </w:pPr>
      <w:r>
        <w:rPr>
          <w:rFonts w:ascii="Calibri" w:hAnsi="Calibri" w:cs="Calibri"/>
          <w:color w:val="000000" w:themeColor="text1"/>
          <w:lang w:val="en-GB"/>
        </w:rPr>
        <w:br w:type="page"/>
      </w:r>
    </w:p>
    <w:p w14:paraId="7589A338" w14:textId="77777777" w:rsidR="00A80114" w:rsidRDefault="00A80114" w:rsidP="00A80114">
      <w:pPr>
        <w:spacing w:line="264" w:lineRule="auto"/>
        <w:jc w:val="both"/>
        <w:rPr>
          <w:rFonts w:ascii="Calibri" w:hAnsi="Calibri" w:cs="Calibri"/>
          <w:b/>
          <w:bCs/>
          <w:color w:val="000000" w:themeColor="text1"/>
          <w:lang w:val="en-GB"/>
        </w:rPr>
      </w:pPr>
    </w:p>
    <w:p w14:paraId="05FFCE49" w14:textId="52C7FEFB" w:rsidR="00A80114" w:rsidRDefault="00A80114" w:rsidP="00A80114">
      <w:pPr>
        <w:spacing w:line="264" w:lineRule="auto"/>
        <w:jc w:val="center"/>
        <w:rPr>
          <w:rFonts w:ascii="Calibri" w:hAnsi="Calibri" w:cs="Calibri"/>
          <w:b/>
          <w:bCs/>
          <w:color w:val="2E74B5" w:themeColor="accent5" w:themeShade="BF"/>
          <w:lang w:val="en-GB"/>
        </w:rPr>
      </w:pPr>
      <w:r w:rsidRPr="00A80114">
        <w:rPr>
          <w:rFonts w:ascii="Calibri" w:hAnsi="Calibri" w:cs="Calibri"/>
          <w:b/>
          <w:bCs/>
          <w:color w:val="2E74B5" w:themeColor="accent5" w:themeShade="BF"/>
          <w:lang w:val="en-GB"/>
        </w:rPr>
        <w:t>Robotic Workflow for Antiparasitic Screening: Streamlined Cell Culture and Data Analysis in Pharmacology</w:t>
      </w:r>
    </w:p>
    <w:p w14:paraId="23C427E5" w14:textId="77777777" w:rsidR="00A80114" w:rsidRPr="00A80114" w:rsidRDefault="00A80114" w:rsidP="00A80114">
      <w:pPr>
        <w:spacing w:line="264" w:lineRule="auto"/>
        <w:jc w:val="center"/>
        <w:rPr>
          <w:rFonts w:ascii="Calibri" w:hAnsi="Calibri" w:cs="Calibri"/>
          <w:b/>
          <w:bCs/>
          <w:color w:val="000000" w:themeColor="text1"/>
          <w:lang w:val="en-GB"/>
        </w:rPr>
      </w:pPr>
    </w:p>
    <w:p w14:paraId="36308C74" w14:textId="5C8F9F2D" w:rsidR="00443D12" w:rsidRPr="00422B0C" w:rsidRDefault="00443D12" w:rsidP="00443D12">
      <w:pPr>
        <w:spacing w:line="360" w:lineRule="auto"/>
        <w:jc w:val="center"/>
        <w:rPr>
          <w:rFonts w:ascii="Calibri" w:hAnsi="Calibri" w:cs="Calibri"/>
          <w:lang w:val="en-GB"/>
        </w:rPr>
      </w:pPr>
      <w:r>
        <w:rPr>
          <w:rFonts w:ascii="Calibri" w:hAnsi="Calibri" w:cs="Calibri"/>
          <w:color w:val="000000"/>
          <w:u w:val="single"/>
          <w:lang w:val="en-GB"/>
        </w:rPr>
        <w:t>Lori Doko</w:t>
      </w:r>
    </w:p>
    <w:p w14:paraId="7F890339" w14:textId="77777777" w:rsidR="00443D12" w:rsidRPr="00B82C29" w:rsidRDefault="00443D12" w:rsidP="00443D12">
      <w:pPr>
        <w:jc w:val="center"/>
        <w:rPr>
          <w:rFonts w:asciiTheme="minorHAnsi" w:hAnsiTheme="minorHAnsi" w:cstheme="minorHAnsi"/>
          <w:color w:val="000000"/>
          <w:sz w:val="22"/>
          <w:szCs w:val="22"/>
          <w:lang w:val="en-GB"/>
        </w:rPr>
      </w:pPr>
      <w:r w:rsidRPr="00B82C29">
        <w:rPr>
          <w:rFonts w:asciiTheme="minorHAnsi" w:hAnsiTheme="minorHAnsi" w:cstheme="minorHAnsi"/>
          <w:color w:val="000000"/>
          <w:sz w:val="22"/>
          <w:szCs w:val="22"/>
          <w:vertAlign w:val="superscript"/>
          <w:lang w:val="en-GB"/>
        </w:rPr>
        <w:t xml:space="preserve"> </w:t>
      </w:r>
      <w:r w:rsidRPr="00B82C29">
        <w:rPr>
          <w:rFonts w:asciiTheme="minorHAnsi" w:hAnsiTheme="minorHAnsi" w:cstheme="minorHAnsi"/>
          <w:color w:val="000000"/>
          <w:sz w:val="22"/>
          <w:szCs w:val="22"/>
          <w:lang w:val="en-GB"/>
        </w:rPr>
        <w:t xml:space="preserve">University of biological sciences , Albania; </w:t>
      </w:r>
      <w:r w:rsidRPr="00B82C29">
        <w:rPr>
          <w:rFonts w:asciiTheme="minorHAnsi" w:hAnsiTheme="minorHAnsi" w:cstheme="minorHAnsi"/>
          <w:color w:val="000000"/>
          <w:sz w:val="22"/>
          <w:szCs w:val="22"/>
          <w:vertAlign w:val="superscript"/>
          <w:lang w:val="en-GB"/>
        </w:rPr>
        <w:t xml:space="preserve"> </w:t>
      </w:r>
      <w:r w:rsidRPr="00B82C29">
        <w:rPr>
          <w:rFonts w:asciiTheme="minorHAnsi" w:hAnsiTheme="minorHAnsi" w:cstheme="minorHAnsi"/>
          <w:color w:val="000000"/>
          <w:sz w:val="22"/>
          <w:szCs w:val="22"/>
          <w:lang w:val="en-GB"/>
        </w:rPr>
        <w:t>Universita degli studi eCampus, Italy</w:t>
      </w:r>
    </w:p>
    <w:p w14:paraId="464D8DAE" w14:textId="77777777" w:rsidR="00443D12" w:rsidRPr="00B82C29" w:rsidRDefault="00000000" w:rsidP="00443D12">
      <w:pPr>
        <w:jc w:val="center"/>
        <w:rPr>
          <w:rFonts w:asciiTheme="minorHAnsi" w:hAnsiTheme="minorHAnsi" w:cstheme="minorHAnsi"/>
          <w:color w:val="000000"/>
          <w:sz w:val="22"/>
          <w:szCs w:val="22"/>
        </w:rPr>
      </w:pPr>
      <w:hyperlink r:id="rId24" w:history="1">
        <w:r w:rsidR="00443D12" w:rsidRPr="00B82C29">
          <w:rPr>
            <w:rStyle w:val="Hyperlink"/>
            <w:rFonts w:asciiTheme="minorHAnsi" w:hAnsiTheme="minorHAnsi" w:cstheme="minorHAnsi"/>
            <w:sz w:val="22"/>
            <w:szCs w:val="22"/>
          </w:rPr>
          <w:t>dokolori6@gmail.com</w:t>
        </w:r>
      </w:hyperlink>
    </w:p>
    <w:p w14:paraId="28411C50" w14:textId="77777777" w:rsidR="00443D12" w:rsidRPr="00890C1B" w:rsidRDefault="00443D12" w:rsidP="00443D12">
      <w:pPr>
        <w:rPr>
          <w:rFonts w:ascii="Calibri" w:hAnsi="Calibri" w:cs="Calibri"/>
          <w:sz w:val="22"/>
          <w:szCs w:val="22"/>
        </w:rPr>
      </w:pPr>
    </w:p>
    <w:p w14:paraId="64E7E334" w14:textId="77777777" w:rsidR="00443D12" w:rsidRPr="00B82C29" w:rsidRDefault="00443D12" w:rsidP="00443D12">
      <w:pPr>
        <w:jc w:val="both"/>
        <w:rPr>
          <w:rFonts w:ascii="Calibri" w:hAnsi="Calibri" w:cs="Calibri"/>
        </w:rPr>
      </w:pPr>
      <w:r w:rsidRPr="00B82C29">
        <w:rPr>
          <w:rFonts w:ascii="Calibri" w:hAnsi="Calibri" w:cs="Calibri"/>
        </w:rPr>
        <w:t>The critical need for new antiparasitic medications is highlighted by the rising incidence of parasitic infections and the growing resistance to current treatments. In pharmacology, high-throughput screening (HTS) has become essential for quickly identifying viable drug candidates, and robotics advancements have made this field possible with previously unheard-of efficiency. This work introduces a completely automated robotic approach that combines high-throughput plate manufacture, accurate medication administration, and thorough data analysis to expedite cell culture procedures and antiparasitic screening. The method lowers human error and resource consumption by enabling quick, repeatable cell culture preparation and guaranteeing constant conditions across hundreds of assay plates.</w:t>
      </w:r>
    </w:p>
    <w:p w14:paraId="2F04404C" w14:textId="77777777" w:rsidR="00443D12" w:rsidRPr="00B82C29" w:rsidRDefault="00443D12" w:rsidP="00443D12">
      <w:pPr>
        <w:jc w:val="both"/>
        <w:rPr>
          <w:rFonts w:ascii="Calibri" w:hAnsi="Calibri" w:cs="Calibri"/>
        </w:rPr>
      </w:pPr>
      <w:r w:rsidRPr="00B82C29">
        <w:rPr>
          <w:rFonts w:ascii="Calibri" w:hAnsi="Calibri" w:cs="Calibri"/>
        </w:rPr>
        <w:t>Our method improves the accuracy of dose-response studies by automating crucial steps in antiparasitic screening, such as chemical dispensing, media change, and sample processing. Following drug exposure, substances with high antiparasitic activity are identified through real-time data gathering and analysis using machine learning algorithms. Through the prediction of structure-activity relationships (SAR) and the optimisation of compounds for future development, these data-driven insights expedite the identification of possible leads. Furthermore, this method gives researchers the consistency and accuracy to monitor parasite inhibition rates and cell survival that would be difficult to accomplish by hand.</w:t>
      </w:r>
    </w:p>
    <w:p w14:paraId="5123677E" w14:textId="77777777" w:rsidR="00443D12" w:rsidRPr="00B82C29" w:rsidRDefault="00443D12" w:rsidP="00443D12">
      <w:pPr>
        <w:jc w:val="both"/>
        <w:rPr>
          <w:rFonts w:ascii="Calibri" w:hAnsi="Calibri" w:cs="Calibri"/>
        </w:rPr>
      </w:pPr>
      <w:r w:rsidRPr="00B82C29">
        <w:rPr>
          <w:rFonts w:ascii="Calibri" w:hAnsi="Calibri" w:cs="Calibri"/>
        </w:rPr>
        <w:t>The results show that robotic automation greatly enhances throughput and quality control in antiparasitic pharmacology. This makes it possible to evaluate a larger chemical library more quickly than with manual methods.</w:t>
      </w:r>
    </w:p>
    <w:p w14:paraId="56463C57" w14:textId="77777777" w:rsidR="00443D12" w:rsidRPr="00B82C29" w:rsidRDefault="00443D12" w:rsidP="00443D12">
      <w:pPr>
        <w:jc w:val="both"/>
        <w:rPr>
          <w:rFonts w:ascii="Calibri" w:hAnsi="Calibri" w:cs="Calibri"/>
        </w:rPr>
      </w:pPr>
      <w:r w:rsidRPr="00B82C29">
        <w:rPr>
          <w:rFonts w:ascii="Calibri" w:hAnsi="Calibri" w:cs="Calibri"/>
        </w:rPr>
        <w:t>This study creates a scalable paradigm for antiparasitic drug discovery by fusing robotic accuracy with sophisticated data analytics, which could hasten the creation of efficient medicines for parasitic illnesses. Our results highlight how crucial it is to combine robotics and computer analysis in pharmacology to satisfy the increasing need for innovative antiparasitic treatments in the field of global health.</w:t>
      </w:r>
    </w:p>
    <w:p w14:paraId="33D1651B" w14:textId="77777777" w:rsidR="00443D12" w:rsidRPr="00B82C29" w:rsidRDefault="00443D12" w:rsidP="00443D12">
      <w:pPr>
        <w:jc w:val="both"/>
        <w:rPr>
          <w:rFonts w:ascii="Calibri" w:hAnsi="Calibri" w:cs="Calibri"/>
          <w:b/>
          <w:bCs/>
        </w:rPr>
      </w:pPr>
    </w:p>
    <w:p w14:paraId="5F85C133" w14:textId="0CDA7544" w:rsidR="00443D12" w:rsidRPr="00443D12" w:rsidRDefault="00443D12" w:rsidP="00443D12">
      <w:pPr>
        <w:jc w:val="both"/>
        <w:rPr>
          <w:rFonts w:ascii="Calibri" w:hAnsi="Calibri" w:cs="Calibri"/>
          <w:b/>
          <w:bCs/>
          <w:sz w:val="22"/>
          <w:szCs w:val="22"/>
        </w:rPr>
      </w:pPr>
      <w:r w:rsidRPr="00443D12">
        <w:rPr>
          <w:rFonts w:ascii="Calibri" w:hAnsi="Calibri" w:cs="Calibri"/>
          <w:b/>
          <w:bCs/>
          <w:sz w:val="22"/>
          <w:szCs w:val="22"/>
        </w:rPr>
        <w:lastRenderedPageBreak/>
        <w:t>References</w:t>
      </w:r>
    </w:p>
    <w:p w14:paraId="2951BB70" w14:textId="77777777" w:rsidR="00443D12" w:rsidRPr="00890C1B" w:rsidRDefault="00443D12" w:rsidP="00443D12">
      <w:pPr>
        <w:jc w:val="both"/>
        <w:rPr>
          <w:rFonts w:ascii="Calibri" w:hAnsi="Calibri" w:cs="Calibri"/>
          <w:sz w:val="22"/>
          <w:szCs w:val="22"/>
        </w:rPr>
      </w:pPr>
      <w:r w:rsidRPr="00890C1B">
        <w:rPr>
          <w:rFonts w:ascii="Calibri" w:hAnsi="Calibri" w:cs="Calibri"/>
          <w:sz w:val="22"/>
          <w:szCs w:val="22"/>
        </w:rPr>
        <w:t>1. Andrews, K. T., Skinner-Adams, T. S., &amp; Fisher, G. (2014). Human parasitic protozoan illnesses and drug repurposing.</w:t>
      </w:r>
    </w:p>
    <w:p w14:paraId="3F907F78" w14:textId="77777777" w:rsidR="00443D12" w:rsidRPr="00890C1B" w:rsidRDefault="00443D12" w:rsidP="00443D12">
      <w:pPr>
        <w:jc w:val="both"/>
        <w:rPr>
          <w:rFonts w:ascii="Calibri" w:hAnsi="Calibri" w:cs="Calibri"/>
          <w:sz w:val="22"/>
          <w:szCs w:val="22"/>
        </w:rPr>
      </w:pPr>
      <w:r w:rsidRPr="00890C1B">
        <w:rPr>
          <w:rFonts w:ascii="Calibri" w:hAnsi="Calibri" w:cs="Calibri"/>
          <w:sz w:val="22"/>
          <w:szCs w:val="22"/>
        </w:rPr>
        <w:t>2. Möhrle, J. J., Oeuvray, C., Burrows, J. N., van Huijsduijnen, R. H., &amp; Wells, T. N. C. (2013). creating the upcoming generation of medications to prevent and cure malaria.</w:t>
      </w:r>
    </w:p>
    <w:p w14:paraId="2576F8E2" w14:textId="77777777" w:rsidR="00443D12" w:rsidRPr="00890C1B" w:rsidRDefault="00443D12" w:rsidP="00443D12">
      <w:pPr>
        <w:jc w:val="both"/>
        <w:rPr>
          <w:rFonts w:ascii="Calibri" w:hAnsi="Calibri" w:cs="Calibri"/>
          <w:sz w:val="22"/>
          <w:szCs w:val="22"/>
        </w:rPr>
      </w:pPr>
      <w:r w:rsidRPr="00890C1B">
        <w:rPr>
          <w:rFonts w:ascii="Calibri" w:hAnsi="Calibri" w:cs="Calibri"/>
          <w:sz w:val="22"/>
          <w:szCs w:val="22"/>
        </w:rPr>
        <w:t>3. Saliba, K. J., and A. M. Lehane (2008). The intraerythrocytic malaria parasite is inhibited in its growth by common dietary flavonoids.</w:t>
      </w:r>
    </w:p>
    <w:p w14:paraId="6036CB38" w14:textId="77777777" w:rsidR="00443D12" w:rsidRPr="00890C1B" w:rsidRDefault="00443D12" w:rsidP="00443D12">
      <w:pPr>
        <w:jc w:val="both"/>
        <w:rPr>
          <w:rFonts w:ascii="Calibri" w:hAnsi="Calibri" w:cs="Calibri"/>
          <w:sz w:val="22"/>
          <w:szCs w:val="22"/>
        </w:rPr>
      </w:pPr>
      <w:r w:rsidRPr="00CF0E0C">
        <w:rPr>
          <w:rFonts w:ascii="Calibri" w:hAnsi="Calibri" w:cs="Calibri"/>
          <w:sz w:val="22"/>
          <w:szCs w:val="22"/>
          <w:lang w:val="pt-PT"/>
        </w:rPr>
        <w:t xml:space="preserve">Alvarez, E., Vidal, J., de Cozar, C., Gamo, F.-J., Sanz, L. M., Lavandera, J.-L., et al. </w:t>
      </w:r>
      <w:r w:rsidRPr="00890C1B">
        <w:rPr>
          <w:rFonts w:ascii="Calibri" w:hAnsi="Calibri" w:cs="Calibri"/>
          <w:sz w:val="22"/>
          <w:szCs w:val="22"/>
        </w:rPr>
        <w:t>(2010). Thousands of chemical starting points for the identification of antimalarial leads</w:t>
      </w:r>
    </w:p>
    <w:p w14:paraId="311F0A5F" w14:textId="77777777" w:rsidR="00443D12" w:rsidRPr="00890C1B" w:rsidRDefault="00443D12" w:rsidP="00443D12">
      <w:pPr>
        <w:jc w:val="both"/>
        <w:rPr>
          <w:rFonts w:ascii="Calibri" w:hAnsi="Calibri" w:cs="Calibri"/>
          <w:sz w:val="22"/>
          <w:szCs w:val="22"/>
        </w:rPr>
      </w:pPr>
      <w:r w:rsidRPr="00890C1B">
        <w:rPr>
          <w:rFonts w:ascii="Calibri" w:hAnsi="Calibri" w:cs="Calibri"/>
          <w:sz w:val="22"/>
          <w:szCs w:val="22"/>
        </w:rPr>
        <w:t> </w:t>
      </w:r>
    </w:p>
    <w:p w14:paraId="0EDDAEFD" w14:textId="77777777" w:rsidR="00443D12" w:rsidRPr="00443D12" w:rsidRDefault="00443D12" w:rsidP="00443D12">
      <w:pPr>
        <w:jc w:val="both"/>
        <w:rPr>
          <w:rFonts w:ascii="Calibri" w:hAnsi="Calibri" w:cs="Calibri"/>
          <w:b/>
          <w:bCs/>
          <w:sz w:val="22"/>
          <w:szCs w:val="22"/>
        </w:rPr>
      </w:pPr>
      <w:r w:rsidRPr="00443D12">
        <w:rPr>
          <w:rFonts w:ascii="Calibri" w:hAnsi="Calibri" w:cs="Calibri"/>
          <w:b/>
          <w:bCs/>
          <w:sz w:val="22"/>
          <w:szCs w:val="22"/>
        </w:rPr>
        <w:t>Acknowledgements</w:t>
      </w:r>
    </w:p>
    <w:p w14:paraId="698ED688" w14:textId="77777777" w:rsidR="00443D12" w:rsidRDefault="00443D12" w:rsidP="00443D12">
      <w:pPr>
        <w:jc w:val="both"/>
        <w:rPr>
          <w:rFonts w:ascii="Calibri" w:hAnsi="Calibri" w:cs="Calibri"/>
          <w:sz w:val="22"/>
          <w:szCs w:val="22"/>
        </w:rPr>
      </w:pPr>
      <w:r w:rsidRPr="00890C1B">
        <w:rPr>
          <w:rFonts w:ascii="Calibri" w:hAnsi="Calibri" w:cs="Calibri"/>
          <w:sz w:val="22"/>
          <w:szCs w:val="22"/>
        </w:rPr>
        <w:t>This research was supported by the OneHealthdrugs COST Action Grant under the COST Action CA21111, enabling collaborative advancements in pharmacological research for parasitic diseases. Special thanks to the European Scientific Commission for supporting young researchers through funding and networking opportunities that facilitated this study.</w:t>
      </w:r>
    </w:p>
    <w:p w14:paraId="27C90935" w14:textId="77777777" w:rsidR="00443D12" w:rsidRDefault="00443D12" w:rsidP="00443D12">
      <w:pPr>
        <w:jc w:val="both"/>
        <w:rPr>
          <w:rFonts w:ascii="Calibri" w:hAnsi="Calibri" w:cs="Calibri"/>
          <w:sz w:val="22"/>
          <w:szCs w:val="22"/>
        </w:rPr>
      </w:pPr>
    </w:p>
    <w:p w14:paraId="58036786" w14:textId="6672FC03" w:rsidR="00A80114" w:rsidRDefault="00A80114" w:rsidP="00443D12">
      <w:pPr>
        <w:spacing w:line="264" w:lineRule="auto"/>
        <w:jc w:val="both"/>
        <w:rPr>
          <w:rFonts w:ascii="Calibri" w:hAnsi="Calibri" w:cs="Calibri"/>
          <w:color w:val="000000" w:themeColor="text1"/>
          <w:lang w:val="en-GB"/>
        </w:rPr>
      </w:pPr>
    </w:p>
    <w:p w14:paraId="2ACAF42E" w14:textId="4706585C" w:rsidR="00A80114" w:rsidRDefault="00A80114">
      <w:pPr>
        <w:rPr>
          <w:rFonts w:ascii="Calibri" w:hAnsi="Calibri" w:cs="Calibri"/>
          <w:color w:val="000000" w:themeColor="text1"/>
          <w:lang w:val="en-GB"/>
        </w:rPr>
      </w:pPr>
      <w:r>
        <w:rPr>
          <w:rFonts w:ascii="Calibri" w:hAnsi="Calibri" w:cs="Calibri"/>
          <w:color w:val="000000" w:themeColor="text1"/>
          <w:lang w:val="en-GB"/>
        </w:rPr>
        <w:br w:type="page"/>
      </w:r>
    </w:p>
    <w:p w14:paraId="59789E7B" w14:textId="77777777" w:rsidR="00A80114" w:rsidRDefault="00A80114" w:rsidP="00A80114">
      <w:pPr>
        <w:spacing w:line="264" w:lineRule="auto"/>
        <w:jc w:val="center"/>
        <w:rPr>
          <w:rFonts w:ascii="Calibri" w:hAnsi="Calibri" w:cs="Calibri"/>
          <w:color w:val="000000" w:themeColor="text1"/>
          <w:lang w:val="en-GB"/>
        </w:rPr>
      </w:pPr>
    </w:p>
    <w:p w14:paraId="112BFC63" w14:textId="77777777" w:rsidR="00A80114" w:rsidRDefault="00A80114" w:rsidP="00A80114">
      <w:pPr>
        <w:spacing w:line="264" w:lineRule="auto"/>
        <w:jc w:val="both"/>
        <w:rPr>
          <w:rFonts w:ascii="Calibri" w:hAnsi="Calibri" w:cs="Calibri"/>
          <w:b/>
          <w:bCs/>
          <w:color w:val="000000" w:themeColor="text1"/>
          <w:lang w:val="en-GB"/>
        </w:rPr>
      </w:pPr>
    </w:p>
    <w:p w14:paraId="03AD3A5B" w14:textId="206AC9DA" w:rsidR="00A80114" w:rsidRPr="00A80114" w:rsidRDefault="00A80114" w:rsidP="00A80114">
      <w:pPr>
        <w:spacing w:line="264" w:lineRule="auto"/>
        <w:jc w:val="center"/>
        <w:rPr>
          <w:rFonts w:ascii="Calibri" w:hAnsi="Calibri" w:cs="Calibri"/>
          <w:b/>
          <w:bCs/>
          <w:color w:val="000000" w:themeColor="text1"/>
          <w:lang w:val="en-GB"/>
        </w:rPr>
      </w:pPr>
      <w:r w:rsidRPr="00A80114">
        <w:rPr>
          <w:rFonts w:ascii="Calibri" w:hAnsi="Calibri" w:cs="Calibri"/>
          <w:b/>
          <w:bCs/>
          <w:color w:val="2E74B5" w:themeColor="accent5" w:themeShade="BF"/>
          <w:lang w:val="en-GB"/>
        </w:rPr>
        <w:t xml:space="preserve">The role of NOD2 in macrophage activation and its therapeutic targeting in </w:t>
      </w:r>
      <w:r w:rsidRPr="00A80114">
        <w:rPr>
          <w:rFonts w:ascii="Calibri" w:hAnsi="Calibri" w:cs="Calibri"/>
          <w:b/>
          <w:bCs/>
          <w:i/>
          <w:iCs/>
          <w:color w:val="2E74B5" w:themeColor="accent5" w:themeShade="BF"/>
          <w:lang w:val="en-GB"/>
        </w:rPr>
        <w:t>Leishmania</w:t>
      </w:r>
      <w:r w:rsidRPr="00A80114">
        <w:rPr>
          <w:rFonts w:ascii="Calibri" w:hAnsi="Calibri" w:cs="Calibri"/>
          <w:b/>
          <w:bCs/>
          <w:color w:val="2E74B5" w:themeColor="accent5" w:themeShade="BF"/>
          <w:lang w:val="en-GB"/>
        </w:rPr>
        <w:t xml:space="preserve"> infections</w:t>
      </w:r>
    </w:p>
    <w:p w14:paraId="26FB48FE" w14:textId="77777777" w:rsidR="00A80114" w:rsidRDefault="00A80114" w:rsidP="00E55891">
      <w:pPr>
        <w:spacing w:line="264" w:lineRule="auto"/>
        <w:rPr>
          <w:rFonts w:ascii="Calibri" w:hAnsi="Calibri" w:cs="Calibri"/>
          <w:color w:val="000000" w:themeColor="text1"/>
          <w:lang w:val="en-GB"/>
        </w:rPr>
      </w:pPr>
    </w:p>
    <w:p w14:paraId="265D83D7" w14:textId="5FBE77F2" w:rsidR="00A80114" w:rsidRPr="00B82C29" w:rsidRDefault="00A80114" w:rsidP="00A80114">
      <w:pPr>
        <w:spacing w:line="360" w:lineRule="auto"/>
        <w:jc w:val="center"/>
        <w:rPr>
          <w:rFonts w:ascii="Calibri" w:hAnsi="Calibri" w:cs="Calibri"/>
          <w:lang w:val="pt-PT"/>
        </w:rPr>
      </w:pPr>
      <w:r w:rsidRPr="00B82C29">
        <w:rPr>
          <w:rFonts w:ascii="Calibri" w:hAnsi="Calibri" w:cs="Calibri"/>
          <w:color w:val="000000"/>
          <w:u w:val="single"/>
          <w:lang w:val="pt-PT"/>
        </w:rPr>
        <w:t>Calvo-Alvarez Estefanía</w:t>
      </w:r>
      <w:r w:rsidRPr="00B82C29">
        <w:rPr>
          <w:rFonts w:ascii="Calibri" w:hAnsi="Calibri" w:cs="Calibri"/>
          <w:color w:val="000000"/>
          <w:u w:val="single"/>
          <w:vertAlign w:val="superscript"/>
          <w:lang w:val="pt-PT"/>
        </w:rPr>
        <w:t>a</w:t>
      </w:r>
      <w:r w:rsidRPr="00B82C29">
        <w:rPr>
          <w:rFonts w:ascii="Calibri" w:hAnsi="Calibri" w:cs="Calibri"/>
          <w:color w:val="000000"/>
          <w:lang w:val="pt-PT"/>
        </w:rPr>
        <w:t>, Corbett Yolanda</w:t>
      </w:r>
      <w:r w:rsidRPr="00B82C29">
        <w:rPr>
          <w:rFonts w:ascii="Calibri" w:hAnsi="Calibri" w:cs="Calibri"/>
          <w:color w:val="000000"/>
          <w:vertAlign w:val="superscript"/>
          <w:lang w:val="it-IT"/>
        </w:rPr>
        <w:t>a</w:t>
      </w:r>
      <w:r w:rsidRPr="00B82C29">
        <w:rPr>
          <w:rFonts w:ascii="Calibri" w:hAnsi="Calibri" w:cs="Calibri"/>
          <w:color w:val="000000"/>
          <w:lang w:val="pt-PT"/>
        </w:rPr>
        <w:t>, Scaccabarozzi Diletta</w:t>
      </w:r>
      <w:r w:rsidRPr="00B82C29">
        <w:rPr>
          <w:rFonts w:ascii="Calibri" w:hAnsi="Calibri" w:cs="Calibri"/>
          <w:color w:val="000000"/>
          <w:vertAlign w:val="superscript"/>
          <w:lang w:val="it-IT"/>
        </w:rPr>
        <w:t>b</w:t>
      </w:r>
      <w:r w:rsidRPr="00B82C29">
        <w:rPr>
          <w:rFonts w:ascii="Calibri" w:hAnsi="Calibri" w:cs="Calibri"/>
          <w:color w:val="000000"/>
          <w:lang w:val="pt-PT"/>
        </w:rPr>
        <w:t>, Perego Federica</w:t>
      </w:r>
      <w:r w:rsidRPr="00B82C29">
        <w:rPr>
          <w:rFonts w:ascii="Calibri" w:hAnsi="Calibri" w:cs="Calibri"/>
          <w:color w:val="000000"/>
          <w:vertAlign w:val="superscript"/>
          <w:lang w:val="it-IT"/>
        </w:rPr>
        <w:t>c</w:t>
      </w:r>
      <w:r w:rsidRPr="00B82C29">
        <w:rPr>
          <w:rFonts w:ascii="Calibri" w:hAnsi="Calibri" w:cs="Calibri"/>
          <w:color w:val="000000"/>
          <w:lang w:val="pt-PT"/>
        </w:rPr>
        <w:t>, D’Alessandro Sarah</w:t>
      </w:r>
      <w:r w:rsidRPr="00B82C29">
        <w:rPr>
          <w:rFonts w:ascii="Calibri" w:hAnsi="Calibri" w:cs="Calibri"/>
          <w:color w:val="000000"/>
          <w:vertAlign w:val="superscript"/>
          <w:lang w:val="it-IT"/>
        </w:rPr>
        <w:t>a</w:t>
      </w:r>
      <w:r w:rsidRPr="00B82C29">
        <w:rPr>
          <w:rFonts w:ascii="Calibri" w:hAnsi="Calibri" w:cs="Calibri"/>
          <w:color w:val="000000"/>
          <w:lang w:val="pt-PT"/>
        </w:rPr>
        <w:t>, Taramelli Donatella</w:t>
      </w:r>
      <w:r w:rsidRPr="00B82C29">
        <w:rPr>
          <w:rFonts w:ascii="Calibri" w:hAnsi="Calibri" w:cs="Calibri"/>
          <w:color w:val="000000"/>
          <w:vertAlign w:val="superscript"/>
          <w:lang w:val="it-IT"/>
        </w:rPr>
        <w:t>a</w:t>
      </w:r>
      <w:r w:rsidRPr="00B82C29">
        <w:rPr>
          <w:rFonts w:ascii="Calibri" w:hAnsi="Calibri" w:cs="Calibri"/>
          <w:color w:val="000000"/>
          <w:lang w:val="pt-PT"/>
        </w:rPr>
        <w:t>, Basilico Nicoletta</w:t>
      </w:r>
      <w:r w:rsidRPr="00B82C29">
        <w:rPr>
          <w:rFonts w:ascii="Calibri" w:hAnsi="Calibri" w:cs="Calibri"/>
          <w:color w:val="000000"/>
          <w:vertAlign w:val="superscript"/>
          <w:lang w:val="it-IT"/>
        </w:rPr>
        <w:t>c</w:t>
      </w:r>
    </w:p>
    <w:p w14:paraId="6C97A50C" w14:textId="290C784D" w:rsidR="00A80114" w:rsidRPr="009775FE" w:rsidRDefault="00A80114" w:rsidP="00A80114">
      <w:pPr>
        <w:jc w:val="center"/>
        <w:rPr>
          <w:rFonts w:ascii="Calibri" w:hAnsi="Calibri" w:cs="Calibri"/>
          <w:color w:val="000000"/>
          <w:sz w:val="22"/>
          <w:szCs w:val="22"/>
          <w:lang w:val="en-GB"/>
        </w:rPr>
      </w:pPr>
      <w:r w:rsidRPr="009775FE">
        <w:rPr>
          <w:rFonts w:ascii="Calibri" w:hAnsi="Calibri" w:cs="Calibri"/>
          <w:color w:val="000000"/>
          <w:sz w:val="22"/>
          <w:szCs w:val="22"/>
          <w:vertAlign w:val="superscript"/>
          <w:lang w:val="en-GB"/>
        </w:rPr>
        <w:t xml:space="preserve">a </w:t>
      </w:r>
      <w:r w:rsidRPr="009775FE">
        <w:rPr>
          <w:rFonts w:ascii="Calibri" w:hAnsi="Calibri" w:cs="Calibri"/>
          <w:color w:val="000000"/>
          <w:sz w:val="22"/>
          <w:szCs w:val="22"/>
          <w:lang w:val="en-GB"/>
        </w:rPr>
        <w:t>Department of Pharmacological and Biomolecular Sciences, University of  Milan, Italy;</w:t>
      </w:r>
    </w:p>
    <w:p w14:paraId="10A3A450" w14:textId="5E6FDF56" w:rsidR="00A80114" w:rsidRPr="009775FE" w:rsidRDefault="00A80114" w:rsidP="00A80114">
      <w:pPr>
        <w:jc w:val="center"/>
        <w:rPr>
          <w:rFonts w:ascii="Calibri" w:hAnsi="Calibri" w:cs="Calibri"/>
          <w:color w:val="000000"/>
          <w:sz w:val="22"/>
          <w:szCs w:val="22"/>
          <w:lang w:val="en-GB"/>
        </w:rPr>
      </w:pPr>
      <w:r w:rsidRPr="009775FE">
        <w:rPr>
          <w:rFonts w:ascii="Calibri" w:hAnsi="Calibri" w:cs="Calibri"/>
          <w:color w:val="000000"/>
          <w:sz w:val="22"/>
          <w:szCs w:val="22"/>
          <w:vertAlign w:val="superscript"/>
          <w:lang w:val="en-GB"/>
        </w:rPr>
        <w:t xml:space="preserve">b </w:t>
      </w:r>
      <w:r w:rsidRPr="009775FE">
        <w:rPr>
          <w:rFonts w:ascii="Calibri" w:hAnsi="Calibri" w:cs="Calibri"/>
          <w:color w:val="000000"/>
          <w:sz w:val="22"/>
          <w:szCs w:val="22"/>
          <w:lang w:val="en-GB"/>
        </w:rPr>
        <w:t>European Commission, Joint Research Centre, Ispra, Italy;</w:t>
      </w:r>
    </w:p>
    <w:p w14:paraId="70E35A91" w14:textId="04D7DD62" w:rsidR="00A80114" w:rsidRPr="009775FE" w:rsidRDefault="00A80114" w:rsidP="00A80114">
      <w:pPr>
        <w:jc w:val="center"/>
        <w:rPr>
          <w:rFonts w:ascii="Calibri" w:hAnsi="Calibri" w:cs="Calibri"/>
          <w:color w:val="000000"/>
          <w:sz w:val="22"/>
          <w:szCs w:val="22"/>
        </w:rPr>
      </w:pPr>
      <w:r w:rsidRPr="009775FE">
        <w:rPr>
          <w:rFonts w:ascii="Calibri" w:hAnsi="Calibri" w:cs="Calibri"/>
          <w:color w:val="000000"/>
          <w:sz w:val="22"/>
          <w:szCs w:val="22"/>
          <w:vertAlign w:val="superscript"/>
          <w:lang w:val="en-GB"/>
        </w:rPr>
        <w:t xml:space="preserve">c </w:t>
      </w:r>
      <w:r w:rsidRPr="009775FE">
        <w:rPr>
          <w:rFonts w:ascii="Calibri" w:hAnsi="Calibri" w:cs="Calibri"/>
          <w:color w:val="000000"/>
          <w:sz w:val="22"/>
          <w:szCs w:val="22"/>
          <w:lang w:val="en-GB"/>
        </w:rPr>
        <w:t>Department of Biomedical, Surgical and Dental Sciences, University of  Milan, Italy</w:t>
      </w:r>
    </w:p>
    <w:p w14:paraId="5D164DC8" w14:textId="77777777" w:rsidR="00A80114" w:rsidRDefault="00A80114" w:rsidP="00A80114">
      <w:pPr>
        <w:jc w:val="center"/>
        <w:rPr>
          <w:rFonts w:ascii="Calibri" w:hAnsi="Calibri" w:cs="Calibri"/>
          <w:color w:val="000000"/>
          <w:sz w:val="22"/>
          <w:szCs w:val="22"/>
        </w:rPr>
      </w:pPr>
    </w:p>
    <w:p w14:paraId="3BB2DB15" w14:textId="77777777" w:rsidR="00A80114" w:rsidRDefault="00A80114" w:rsidP="00A80114">
      <w:pPr>
        <w:jc w:val="center"/>
        <w:rPr>
          <w:rFonts w:ascii="Calibri" w:hAnsi="Calibri" w:cs="Calibri"/>
          <w:color w:val="000000"/>
          <w:sz w:val="22"/>
          <w:szCs w:val="22"/>
        </w:rPr>
      </w:pPr>
      <w:r>
        <w:rPr>
          <w:rFonts w:ascii="Calibri" w:hAnsi="Calibri" w:cs="Calibri"/>
          <w:color w:val="000000"/>
          <w:sz w:val="22"/>
          <w:szCs w:val="22"/>
        </w:rPr>
        <w:t>estefania.calvo@unimi.it</w:t>
      </w:r>
    </w:p>
    <w:p w14:paraId="578B7DE8" w14:textId="77777777" w:rsidR="00A80114" w:rsidRDefault="00A80114" w:rsidP="00A80114">
      <w:pPr>
        <w:jc w:val="center"/>
        <w:rPr>
          <w:rFonts w:ascii="Calibri" w:hAnsi="Calibri" w:cs="Calibri"/>
        </w:rPr>
      </w:pPr>
    </w:p>
    <w:p w14:paraId="3D89D2E8" w14:textId="77777777" w:rsidR="00A80114" w:rsidRPr="00B82C29" w:rsidRDefault="00A80114" w:rsidP="00A80114">
      <w:pPr>
        <w:jc w:val="both"/>
        <w:rPr>
          <w:rFonts w:asciiTheme="minorHAnsi" w:hAnsiTheme="minorHAnsi" w:cstheme="minorHAnsi"/>
        </w:rPr>
      </w:pPr>
      <w:r w:rsidRPr="00B82C29">
        <w:rPr>
          <w:rFonts w:asciiTheme="minorHAnsi" w:hAnsiTheme="minorHAnsi" w:cstheme="minorHAnsi"/>
        </w:rPr>
        <w:t>Effective pathogen recognition by innate immune cells, particularly macrophages, is vital for initiating inflammatory responses and microbicidal activities</w:t>
      </w:r>
      <w:r w:rsidRPr="00B82C29">
        <w:rPr>
          <w:rFonts w:asciiTheme="minorHAnsi" w:hAnsiTheme="minorHAnsi" w:cstheme="minorHAnsi"/>
          <w:vertAlign w:val="superscript"/>
        </w:rPr>
        <w:t>1</w:t>
      </w:r>
      <w:r w:rsidRPr="00B82C29">
        <w:rPr>
          <w:rFonts w:asciiTheme="minorHAnsi" w:hAnsiTheme="minorHAnsi" w:cstheme="minorHAnsi"/>
        </w:rPr>
        <w:t>. Among pattern recognition receptors (PRRs), the intracellular NOD-like receptor (NLR) NOD2 is pivotal in detecting muramyl dipeptide (MDP) from bacterial peptidoglycan</w:t>
      </w:r>
      <w:r w:rsidRPr="00B82C29">
        <w:rPr>
          <w:rFonts w:asciiTheme="minorHAnsi" w:hAnsiTheme="minorHAnsi" w:cstheme="minorHAnsi"/>
          <w:vertAlign w:val="superscript"/>
        </w:rPr>
        <w:t>2</w:t>
      </w:r>
      <w:r w:rsidRPr="00B82C29">
        <w:rPr>
          <w:rFonts w:asciiTheme="minorHAnsi" w:hAnsiTheme="minorHAnsi" w:cstheme="minorHAnsi"/>
        </w:rPr>
        <w:t>. Emerging evidence suggests that NOD2 also plays a critical role in responses to non-bacterial pathogens, including protozoan parasites</w:t>
      </w:r>
      <w:r w:rsidRPr="00B82C29">
        <w:rPr>
          <w:rFonts w:asciiTheme="minorHAnsi" w:hAnsiTheme="minorHAnsi" w:cstheme="minorHAnsi"/>
          <w:vertAlign w:val="superscript"/>
        </w:rPr>
        <w:t>3,4</w:t>
      </w:r>
      <w:r w:rsidRPr="00B82C29">
        <w:rPr>
          <w:rFonts w:asciiTheme="minorHAnsi" w:hAnsiTheme="minorHAnsi" w:cstheme="minorHAnsi"/>
        </w:rPr>
        <w:t xml:space="preserve">. </w:t>
      </w:r>
      <w:r w:rsidRPr="00B82C29">
        <w:rPr>
          <w:rFonts w:asciiTheme="minorHAnsi" w:hAnsiTheme="minorHAnsi" w:cstheme="minorHAnsi"/>
          <w:i/>
          <w:iCs/>
        </w:rPr>
        <w:t>Leishmania</w:t>
      </w:r>
      <w:r w:rsidRPr="00B82C29">
        <w:rPr>
          <w:rFonts w:asciiTheme="minorHAnsi" w:hAnsiTheme="minorHAnsi" w:cstheme="minorHAnsi"/>
        </w:rPr>
        <w:t xml:space="preserve"> species, such as </w:t>
      </w:r>
      <w:r w:rsidRPr="00B82C29">
        <w:rPr>
          <w:rFonts w:asciiTheme="minorHAnsi" w:hAnsiTheme="minorHAnsi" w:cstheme="minorHAnsi"/>
          <w:i/>
          <w:iCs/>
        </w:rPr>
        <w:t>Leishmania infantum</w:t>
      </w:r>
      <w:r w:rsidRPr="00B82C29">
        <w:rPr>
          <w:rFonts w:asciiTheme="minorHAnsi" w:hAnsiTheme="minorHAnsi" w:cstheme="minorHAnsi"/>
        </w:rPr>
        <w:t xml:space="preserve"> and </w:t>
      </w:r>
      <w:r w:rsidRPr="00B82C29">
        <w:rPr>
          <w:rFonts w:asciiTheme="minorHAnsi" w:hAnsiTheme="minorHAnsi" w:cstheme="minorHAnsi"/>
          <w:i/>
          <w:iCs/>
        </w:rPr>
        <w:t>L. tropica</w:t>
      </w:r>
      <w:r w:rsidRPr="00B82C29">
        <w:rPr>
          <w:rFonts w:asciiTheme="minorHAnsi" w:hAnsiTheme="minorHAnsi" w:cstheme="minorHAnsi"/>
        </w:rPr>
        <w:t>, which cause visceral and cutaneous leishmaniasis, respectively, interact with host PRRs to manipulate immune responses</w:t>
      </w:r>
      <w:r w:rsidRPr="00B82C29">
        <w:rPr>
          <w:rFonts w:asciiTheme="minorHAnsi" w:hAnsiTheme="minorHAnsi" w:cstheme="minorHAnsi"/>
          <w:vertAlign w:val="superscript"/>
        </w:rPr>
        <w:t>5</w:t>
      </w:r>
      <w:r w:rsidRPr="00B82C29">
        <w:rPr>
          <w:rFonts w:asciiTheme="minorHAnsi" w:hAnsiTheme="minorHAnsi" w:cstheme="minorHAnsi"/>
        </w:rPr>
        <w:t xml:space="preserve">. However, the role of NOD2 in recognizing </w:t>
      </w:r>
      <w:r w:rsidRPr="00B82C29">
        <w:rPr>
          <w:rFonts w:asciiTheme="minorHAnsi" w:hAnsiTheme="minorHAnsi" w:cstheme="minorHAnsi"/>
          <w:i/>
          <w:iCs/>
        </w:rPr>
        <w:t>Leishmania</w:t>
      </w:r>
      <w:r w:rsidRPr="00B82C29">
        <w:rPr>
          <w:rFonts w:asciiTheme="minorHAnsi" w:hAnsiTheme="minorHAnsi" w:cstheme="minorHAnsi"/>
        </w:rPr>
        <w:t xml:space="preserve"> spp. and mediating inflammatory responses to control these infections remains underexplored. In this study, we used bone marrow-derived macrophages (BMDMs) from NOD2 knockout (KO) mice, as well as BMDMs deficient in RIP2 and CARD9 (two key adaptor proteins in the NOD2 signaling pathway), to assess the role of NOD2 in macrophage activation during </w:t>
      </w:r>
      <w:r w:rsidRPr="00B82C29">
        <w:rPr>
          <w:rFonts w:asciiTheme="minorHAnsi" w:hAnsiTheme="minorHAnsi" w:cstheme="minorHAnsi"/>
          <w:i/>
          <w:iCs/>
        </w:rPr>
        <w:t>Leishmania</w:t>
      </w:r>
      <w:r w:rsidRPr="00B82C29">
        <w:rPr>
          <w:rFonts w:asciiTheme="minorHAnsi" w:hAnsiTheme="minorHAnsi" w:cstheme="minorHAnsi"/>
        </w:rPr>
        <w:t xml:space="preserve"> infection. We found that genetic ablation of NOD2, RIP2, or CARD9 significantly impaired nitric oxide (NO) production, inducible nitric oxide synthase (iNOS) expression, and the release of pro-inflammatory cytokine TNF-α in response to infection. Additionally, we employed GSK717</w:t>
      </w:r>
      <w:r w:rsidRPr="00B82C29">
        <w:rPr>
          <w:rFonts w:asciiTheme="minorHAnsi" w:hAnsiTheme="minorHAnsi" w:cstheme="minorHAnsi"/>
          <w:vertAlign w:val="superscript"/>
        </w:rPr>
        <w:t>6</w:t>
      </w:r>
      <w:r w:rsidRPr="00B82C29">
        <w:rPr>
          <w:rFonts w:asciiTheme="minorHAnsi" w:hAnsiTheme="minorHAnsi" w:cstheme="minorHAnsi"/>
        </w:rPr>
        <w:t xml:space="preserve">, a specific pharmacological inhibitor of NOD2, to complement our genetic approach. Inhibition of NOD2 in wild-type BMDMs led to an increase in intracellular amastigote burden and a reduction in both NO production and iNOS expression, corroborating the findings from the NOD2 KO models. This pharmacological validation highlights the therapeutic potential of targeting NOD2 in enhancing macrophage activity against </w:t>
      </w:r>
      <w:r w:rsidRPr="00B82C29">
        <w:rPr>
          <w:rFonts w:asciiTheme="minorHAnsi" w:hAnsiTheme="minorHAnsi" w:cstheme="minorHAnsi"/>
          <w:i/>
          <w:iCs/>
        </w:rPr>
        <w:t>Leishmania</w:t>
      </w:r>
      <w:r w:rsidRPr="00B82C29">
        <w:rPr>
          <w:rFonts w:asciiTheme="minorHAnsi" w:hAnsiTheme="minorHAnsi" w:cstheme="minorHAnsi"/>
        </w:rPr>
        <w:t xml:space="preserve"> infections. Moreover, MDP exhibited immunomodulatory properties by enhancing NOD2-mediated responses, significantly boosting TNF-α and iNOS levels </w:t>
      </w:r>
      <w:r w:rsidRPr="00B82C29">
        <w:rPr>
          <w:rFonts w:asciiTheme="minorHAnsi" w:hAnsiTheme="minorHAnsi" w:cstheme="minorHAnsi"/>
        </w:rPr>
        <w:lastRenderedPageBreak/>
        <w:t xml:space="preserve">when combined with </w:t>
      </w:r>
      <w:r w:rsidRPr="00B82C29">
        <w:rPr>
          <w:rFonts w:asciiTheme="minorHAnsi" w:hAnsiTheme="minorHAnsi" w:cstheme="minorHAnsi"/>
          <w:i/>
          <w:iCs/>
        </w:rPr>
        <w:t>L. infantum</w:t>
      </w:r>
      <w:r w:rsidRPr="00B82C29">
        <w:rPr>
          <w:rFonts w:asciiTheme="minorHAnsi" w:hAnsiTheme="minorHAnsi" w:cstheme="minorHAnsi"/>
        </w:rPr>
        <w:t>. Our findings suggest that NOD2 represents a promising therapeutic target against these parasites, and the use of MDP to augment anti-</w:t>
      </w:r>
      <w:r w:rsidRPr="00B82C29">
        <w:rPr>
          <w:rFonts w:asciiTheme="minorHAnsi" w:hAnsiTheme="minorHAnsi" w:cstheme="minorHAnsi"/>
          <w:i/>
          <w:iCs/>
        </w:rPr>
        <w:t>Leishmania</w:t>
      </w:r>
      <w:r w:rsidRPr="00B82C29">
        <w:rPr>
          <w:rFonts w:asciiTheme="minorHAnsi" w:hAnsiTheme="minorHAnsi" w:cstheme="minorHAnsi"/>
        </w:rPr>
        <w:t xml:space="preserve"> immune responses could become a novel immunomodulatory strategy.</w:t>
      </w:r>
    </w:p>
    <w:p w14:paraId="0D636B1D" w14:textId="2EA6BF08" w:rsidR="00A80114" w:rsidRDefault="00B82C29" w:rsidP="00B82C29">
      <w:pPr>
        <w:jc w:val="both"/>
        <w:rPr>
          <w:rFonts w:ascii="Calibri" w:hAnsi="Calibri" w:cs="Calibri"/>
          <w:b/>
          <w:bCs/>
          <w:sz w:val="22"/>
          <w:szCs w:val="22"/>
        </w:rPr>
      </w:pPr>
      <w:r w:rsidRPr="001C1EE2">
        <w:rPr>
          <w:noProof/>
          <w:sz w:val="20"/>
          <w:szCs w:val="20"/>
          <w:lang w:val="it-IT" w:eastAsia="it-IT"/>
        </w:rPr>
        <w:drawing>
          <wp:anchor distT="0" distB="0" distL="114300" distR="114300" simplePos="0" relativeHeight="251661312" behindDoc="0" locked="0" layoutInCell="1" allowOverlap="1" wp14:anchorId="77C93C4D" wp14:editId="6E38E459">
            <wp:simplePos x="0" y="0"/>
            <wp:positionH relativeFrom="margin">
              <wp:posOffset>-34925</wp:posOffset>
            </wp:positionH>
            <wp:positionV relativeFrom="margin">
              <wp:posOffset>589280</wp:posOffset>
            </wp:positionV>
            <wp:extent cx="1148715" cy="129603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7367" r="6686" b="9864"/>
                    <a:stretch/>
                  </pic:blipFill>
                  <pic:spPr bwMode="auto">
                    <a:xfrm>
                      <a:off x="0" y="0"/>
                      <a:ext cx="1148715" cy="1296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784E07" w14:textId="1E93FEE8" w:rsidR="00B82C29" w:rsidRDefault="00B82C29" w:rsidP="00B82C29">
      <w:pPr>
        <w:jc w:val="both"/>
        <w:rPr>
          <w:rFonts w:ascii="Calibri" w:hAnsi="Calibri" w:cs="Calibri"/>
          <w:b/>
          <w:bCs/>
          <w:sz w:val="22"/>
          <w:szCs w:val="22"/>
        </w:rPr>
      </w:pPr>
    </w:p>
    <w:p w14:paraId="5A213242" w14:textId="302F437B" w:rsidR="00B82C29" w:rsidRDefault="00B82C29" w:rsidP="00B82C29">
      <w:pPr>
        <w:jc w:val="both"/>
        <w:rPr>
          <w:rFonts w:ascii="Calibri" w:hAnsi="Calibri" w:cs="Calibri"/>
          <w:b/>
          <w:bCs/>
          <w:sz w:val="22"/>
          <w:szCs w:val="22"/>
        </w:rPr>
      </w:pPr>
    </w:p>
    <w:p w14:paraId="4AA50BA7" w14:textId="3F0857CB" w:rsidR="00A80114" w:rsidRDefault="00A80114" w:rsidP="00A80114">
      <w:pPr>
        <w:rPr>
          <w:rFonts w:ascii="Calibri" w:hAnsi="Calibri" w:cs="Calibri"/>
          <w:b/>
          <w:bCs/>
          <w:sz w:val="22"/>
          <w:szCs w:val="22"/>
        </w:rPr>
      </w:pPr>
    </w:p>
    <w:p w14:paraId="436C7227" w14:textId="3535EE9B" w:rsidR="00A80114" w:rsidRDefault="00A80114" w:rsidP="00A80114">
      <w:pPr>
        <w:rPr>
          <w:rFonts w:ascii="Calibri" w:hAnsi="Calibri" w:cs="Calibri"/>
          <w:b/>
          <w:bCs/>
          <w:sz w:val="22"/>
          <w:szCs w:val="22"/>
        </w:rPr>
      </w:pPr>
    </w:p>
    <w:p w14:paraId="02C92348" w14:textId="77777777" w:rsidR="00B82C29" w:rsidRDefault="00B82C29" w:rsidP="00A80114">
      <w:pPr>
        <w:rPr>
          <w:rFonts w:ascii="Calibri" w:hAnsi="Calibri" w:cs="Calibri"/>
          <w:b/>
          <w:bCs/>
          <w:sz w:val="22"/>
          <w:szCs w:val="22"/>
        </w:rPr>
      </w:pPr>
    </w:p>
    <w:p w14:paraId="38C8B601" w14:textId="77777777" w:rsidR="00B82C29" w:rsidRDefault="00B82C29" w:rsidP="00A80114">
      <w:pPr>
        <w:rPr>
          <w:rFonts w:ascii="Calibri" w:hAnsi="Calibri" w:cs="Calibri"/>
          <w:b/>
          <w:bCs/>
          <w:sz w:val="22"/>
          <w:szCs w:val="22"/>
        </w:rPr>
      </w:pPr>
    </w:p>
    <w:p w14:paraId="6952931D" w14:textId="77777777" w:rsidR="00B82C29" w:rsidRDefault="00B82C29" w:rsidP="00A80114">
      <w:pPr>
        <w:rPr>
          <w:rFonts w:ascii="Calibri" w:hAnsi="Calibri" w:cs="Calibri"/>
          <w:b/>
          <w:bCs/>
          <w:sz w:val="22"/>
          <w:szCs w:val="22"/>
        </w:rPr>
      </w:pPr>
    </w:p>
    <w:p w14:paraId="2D068A9E" w14:textId="274A9EBB" w:rsidR="00A80114" w:rsidRDefault="00A80114" w:rsidP="00A80114">
      <w:pPr>
        <w:rPr>
          <w:rFonts w:ascii="Calibri" w:hAnsi="Calibri" w:cs="Calibri"/>
          <w:b/>
          <w:bCs/>
          <w:sz w:val="22"/>
          <w:szCs w:val="22"/>
        </w:rPr>
      </w:pPr>
      <w:r>
        <w:rPr>
          <w:rFonts w:ascii="Calibri" w:hAnsi="Calibri" w:cs="Calibri"/>
          <w:b/>
          <w:bCs/>
          <w:sz w:val="22"/>
          <w:szCs w:val="22"/>
        </w:rPr>
        <w:t>References</w:t>
      </w:r>
    </w:p>
    <w:p w14:paraId="6F0090F5" w14:textId="77777777" w:rsidR="00A80114" w:rsidRDefault="00A80114" w:rsidP="00A80114">
      <w:pPr>
        <w:jc w:val="both"/>
        <w:rPr>
          <w:rFonts w:ascii="Calibri" w:hAnsi="Calibri" w:cs="Calibri"/>
          <w:sz w:val="22"/>
          <w:szCs w:val="22"/>
          <w:lang w:val="hu-HU"/>
        </w:rPr>
      </w:pPr>
      <w:r>
        <w:rPr>
          <w:rFonts w:ascii="Calibri" w:hAnsi="Calibri" w:cs="Calibri"/>
          <w:sz w:val="22"/>
          <w:szCs w:val="22"/>
          <w:lang w:val="hu-HU"/>
        </w:rPr>
        <w:t xml:space="preserve">[1] </w:t>
      </w:r>
      <w:r w:rsidRPr="007A3C84">
        <w:rPr>
          <w:rFonts w:ascii="Calibri" w:hAnsi="Calibri" w:cs="Calibri"/>
          <w:sz w:val="22"/>
          <w:szCs w:val="22"/>
          <w:lang w:val="hu-HU"/>
        </w:rPr>
        <w:t xml:space="preserve">Akira S, Uematsu S, Takeuchi O. </w:t>
      </w:r>
      <w:r>
        <w:rPr>
          <w:rFonts w:ascii="Calibri" w:hAnsi="Calibri" w:cs="Calibri"/>
          <w:sz w:val="22"/>
          <w:szCs w:val="22"/>
          <w:lang w:val="hu-HU"/>
        </w:rPr>
        <w:t xml:space="preserve">(2006) </w:t>
      </w:r>
      <w:r w:rsidRPr="007A3C84">
        <w:rPr>
          <w:rFonts w:ascii="Calibri" w:hAnsi="Calibri" w:cs="Calibri"/>
          <w:sz w:val="22"/>
          <w:szCs w:val="22"/>
          <w:lang w:val="hu-HU"/>
        </w:rPr>
        <w:t xml:space="preserve">Pathogen recognition and innate immunity. </w:t>
      </w:r>
      <w:r w:rsidRPr="007A3C84">
        <w:rPr>
          <w:rFonts w:ascii="Calibri" w:hAnsi="Calibri" w:cs="Calibri"/>
          <w:i/>
          <w:iCs/>
          <w:sz w:val="22"/>
          <w:szCs w:val="22"/>
          <w:lang w:val="hu-HU"/>
        </w:rPr>
        <w:t>Cell</w:t>
      </w:r>
      <w:r>
        <w:rPr>
          <w:rFonts w:ascii="Calibri" w:hAnsi="Calibri" w:cs="Calibri"/>
          <w:sz w:val="22"/>
          <w:szCs w:val="22"/>
          <w:lang w:val="hu-HU"/>
        </w:rPr>
        <w:t xml:space="preserve"> </w:t>
      </w:r>
      <w:r w:rsidRPr="007A3C84">
        <w:rPr>
          <w:rFonts w:ascii="Calibri" w:hAnsi="Calibri" w:cs="Calibri"/>
          <w:sz w:val="22"/>
          <w:szCs w:val="22"/>
          <w:lang w:val="hu-HU"/>
        </w:rPr>
        <w:t xml:space="preserve">124(4):783-801. doi: 10.1016/j.cell.2006.02.015. </w:t>
      </w:r>
    </w:p>
    <w:p w14:paraId="03C604BD" w14:textId="77777777" w:rsidR="00A80114" w:rsidRDefault="00A80114" w:rsidP="00A80114">
      <w:pPr>
        <w:jc w:val="both"/>
        <w:rPr>
          <w:rFonts w:ascii="Calibri" w:hAnsi="Calibri" w:cs="Calibri"/>
          <w:sz w:val="22"/>
          <w:szCs w:val="22"/>
          <w:lang w:val="hu-HU"/>
        </w:rPr>
      </w:pPr>
      <w:r>
        <w:rPr>
          <w:rFonts w:ascii="Calibri" w:hAnsi="Calibri" w:cs="Calibri"/>
          <w:sz w:val="22"/>
          <w:szCs w:val="22"/>
          <w:lang w:val="hu-HU"/>
        </w:rPr>
        <w:t xml:space="preserve">[2] </w:t>
      </w:r>
      <w:r w:rsidRPr="00AE00BB">
        <w:rPr>
          <w:rFonts w:ascii="Calibri" w:hAnsi="Calibri" w:cs="Calibri"/>
          <w:sz w:val="22"/>
          <w:szCs w:val="22"/>
          <w:lang w:val="hu-HU"/>
        </w:rPr>
        <w:t xml:space="preserve">Girardin SE, Boneca IG, Viala J, Chamaillard M, Labigne A, Thomas G, Philpott DJ, Sansonetti PJ. </w:t>
      </w:r>
      <w:r>
        <w:rPr>
          <w:rFonts w:ascii="Calibri" w:hAnsi="Calibri" w:cs="Calibri"/>
          <w:sz w:val="22"/>
          <w:szCs w:val="22"/>
          <w:lang w:val="hu-HU"/>
        </w:rPr>
        <w:t xml:space="preserve">(2003) </w:t>
      </w:r>
      <w:r w:rsidRPr="00AE00BB">
        <w:rPr>
          <w:rFonts w:ascii="Calibri" w:hAnsi="Calibri" w:cs="Calibri"/>
          <w:sz w:val="22"/>
          <w:szCs w:val="22"/>
          <w:lang w:val="hu-HU"/>
        </w:rPr>
        <w:t xml:space="preserve">Nod2 is a general sensor of peptidoglycan through muramyl dipeptide (MDP) detection. </w:t>
      </w:r>
      <w:r w:rsidRPr="00AE00BB">
        <w:rPr>
          <w:rFonts w:ascii="Calibri" w:hAnsi="Calibri" w:cs="Calibri"/>
          <w:i/>
          <w:iCs/>
          <w:sz w:val="22"/>
          <w:szCs w:val="22"/>
          <w:lang w:val="hu-HU"/>
        </w:rPr>
        <w:t>J Biol Chem</w:t>
      </w:r>
      <w:r>
        <w:rPr>
          <w:rFonts w:ascii="Calibri" w:hAnsi="Calibri" w:cs="Calibri"/>
          <w:sz w:val="22"/>
          <w:szCs w:val="22"/>
          <w:lang w:val="hu-HU"/>
        </w:rPr>
        <w:t xml:space="preserve"> </w:t>
      </w:r>
      <w:r w:rsidRPr="00AE00BB">
        <w:rPr>
          <w:rFonts w:ascii="Calibri" w:hAnsi="Calibri" w:cs="Calibri"/>
          <w:sz w:val="22"/>
          <w:szCs w:val="22"/>
          <w:lang w:val="hu-HU"/>
        </w:rPr>
        <w:t>278(11):8869-72. doi: 10.1074/jbc.C200651200.</w:t>
      </w:r>
    </w:p>
    <w:p w14:paraId="5EB07231" w14:textId="77777777" w:rsidR="00A80114" w:rsidRDefault="00A80114" w:rsidP="00A80114">
      <w:pPr>
        <w:jc w:val="both"/>
        <w:rPr>
          <w:rFonts w:ascii="Calibri" w:hAnsi="Calibri" w:cs="Calibri"/>
          <w:sz w:val="22"/>
          <w:szCs w:val="22"/>
          <w:lang w:val="hu-HU"/>
        </w:rPr>
      </w:pPr>
      <w:r>
        <w:rPr>
          <w:rFonts w:ascii="Calibri" w:hAnsi="Calibri" w:cs="Calibri"/>
          <w:sz w:val="22"/>
          <w:szCs w:val="22"/>
          <w:lang w:val="hu-HU"/>
        </w:rPr>
        <w:t xml:space="preserve">[3] </w:t>
      </w:r>
      <w:r w:rsidRPr="00766D58">
        <w:rPr>
          <w:rFonts w:ascii="Calibri" w:hAnsi="Calibri" w:cs="Calibri"/>
          <w:sz w:val="22"/>
          <w:szCs w:val="22"/>
          <w:lang w:val="hu-HU"/>
        </w:rPr>
        <w:t xml:space="preserve">Moreira LO, Zamboni DS. </w:t>
      </w:r>
      <w:r>
        <w:rPr>
          <w:rFonts w:ascii="Calibri" w:hAnsi="Calibri" w:cs="Calibri"/>
          <w:sz w:val="22"/>
          <w:szCs w:val="22"/>
          <w:lang w:val="hu-HU"/>
        </w:rPr>
        <w:t xml:space="preserve">(2012) </w:t>
      </w:r>
      <w:r w:rsidRPr="00766D58">
        <w:rPr>
          <w:rFonts w:ascii="Calibri" w:hAnsi="Calibri" w:cs="Calibri"/>
          <w:sz w:val="22"/>
          <w:szCs w:val="22"/>
          <w:lang w:val="hu-HU"/>
        </w:rPr>
        <w:t xml:space="preserve">NOD1 and NOD2 Signaling in Infection and Inflammation. </w:t>
      </w:r>
      <w:r w:rsidRPr="00766D58">
        <w:rPr>
          <w:rFonts w:ascii="Calibri" w:hAnsi="Calibri" w:cs="Calibri"/>
          <w:i/>
          <w:iCs/>
          <w:sz w:val="22"/>
          <w:szCs w:val="22"/>
          <w:lang w:val="hu-HU"/>
        </w:rPr>
        <w:t>Front Immunol</w:t>
      </w:r>
      <w:r>
        <w:rPr>
          <w:rFonts w:ascii="Calibri" w:hAnsi="Calibri" w:cs="Calibri"/>
          <w:sz w:val="22"/>
          <w:szCs w:val="22"/>
          <w:lang w:val="hu-HU"/>
        </w:rPr>
        <w:t xml:space="preserve"> </w:t>
      </w:r>
      <w:r w:rsidRPr="00766D58">
        <w:rPr>
          <w:rFonts w:ascii="Calibri" w:hAnsi="Calibri" w:cs="Calibri"/>
          <w:sz w:val="22"/>
          <w:szCs w:val="22"/>
          <w:lang w:val="hu-HU"/>
        </w:rPr>
        <w:t>3:328. doi: 10.3389/fimmu.2012.00328.</w:t>
      </w:r>
    </w:p>
    <w:p w14:paraId="3219B019" w14:textId="77777777" w:rsidR="00A80114" w:rsidRDefault="00A80114" w:rsidP="00A80114">
      <w:pPr>
        <w:jc w:val="both"/>
        <w:rPr>
          <w:rFonts w:ascii="Calibri" w:hAnsi="Calibri" w:cs="Calibri"/>
          <w:sz w:val="22"/>
          <w:szCs w:val="22"/>
          <w:lang w:val="hu-HU"/>
        </w:rPr>
      </w:pPr>
      <w:r>
        <w:rPr>
          <w:rFonts w:ascii="Calibri" w:hAnsi="Calibri" w:cs="Calibri"/>
          <w:sz w:val="22"/>
          <w:szCs w:val="22"/>
          <w:lang w:val="hu-HU"/>
        </w:rPr>
        <w:t xml:space="preserve">[4] </w:t>
      </w:r>
      <w:r w:rsidRPr="00F265C9">
        <w:rPr>
          <w:rFonts w:ascii="Calibri" w:hAnsi="Calibri" w:cs="Calibri"/>
          <w:sz w:val="22"/>
          <w:szCs w:val="22"/>
          <w:lang w:val="hu-HU"/>
        </w:rPr>
        <w:t xml:space="preserve">Keestra-Gounder AM, Tsolis RM. </w:t>
      </w:r>
      <w:r>
        <w:rPr>
          <w:rFonts w:ascii="Calibri" w:hAnsi="Calibri" w:cs="Calibri"/>
          <w:sz w:val="22"/>
          <w:szCs w:val="22"/>
          <w:lang w:val="hu-HU"/>
        </w:rPr>
        <w:t xml:space="preserve">(2017) </w:t>
      </w:r>
      <w:r w:rsidRPr="00F265C9">
        <w:rPr>
          <w:rFonts w:ascii="Calibri" w:hAnsi="Calibri" w:cs="Calibri"/>
          <w:sz w:val="22"/>
          <w:szCs w:val="22"/>
          <w:lang w:val="hu-HU"/>
        </w:rPr>
        <w:t xml:space="preserve">NOD1 and NOD2: Beyond Peptidoglycan Sensing. </w:t>
      </w:r>
      <w:r w:rsidRPr="00F265C9">
        <w:rPr>
          <w:rFonts w:ascii="Calibri" w:hAnsi="Calibri" w:cs="Calibri"/>
          <w:i/>
          <w:iCs/>
          <w:sz w:val="22"/>
          <w:szCs w:val="22"/>
          <w:lang w:val="hu-HU"/>
        </w:rPr>
        <w:t>Trends Immunol</w:t>
      </w:r>
      <w:r>
        <w:rPr>
          <w:rFonts w:ascii="Calibri" w:hAnsi="Calibri" w:cs="Calibri"/>
          <w:sz w:val="22"/>
          <w:szCs w:val="22"/>
          <w:lang w:val="hu-HU"/>
        </w:rPr>
        <w:t xml:space="preserve"> </w:t>
      </w:r>
      <w:r w:rsidRPr="00F265C9">
        <w:rPr>
          <w:rFonts w:ascii="Calibri" w:hAnsi="Calibri" w:cs="Calibri"/>
          <w:sz w:val="22"/>
          <w:szCs w:val="22"/>
          <w:lang w:val="hu-HU"/>
        </w:rPr>
        <w:t>38(10):758-767. doi: 10.1016/j.it.2017.07.004.</w:t>
      </w:r>
    </w:p>
    <w:p w14:paraId="1E8570F2" w14:textId="77777777" w:rsidR="00A80114" w:rsidRDefault="00A80114" w:rsidP="00A80114">
      <w:pPr>
        <w:jc w:val="both"/>
        <w:rPr>
          <w:rFonts w:ascii="Calibri" w:hAnsi="Calibri" w:cs="Calibri"/>
          <w:sz w:val="22"/>
          <w:szCs w:val="22"/>
          <w:lang w:val="hu-HU"/>
        </w:rPr>
      </w:pPr>
      <w:r>
        <w:rPr>
          <w:rFonts w:ascii="Calibri" w:hAnsi="Calibri" w:cs="Calibri"/>
          <w:sz w:val="22"/>
          <w:szCs w:val="22"/>
          <w:lang w:val="hu-HU"/>
        </w:rPr>
        <w:t xml:space="preserve">[5] </w:t>
      </w:r>
      <w:r w:rsidRPr="006D1988">
        <w:rPr>
          <w:rFonts w:ascii="Calibri" w:hAnsi="Calibri" w:cs="Calibri"/>
          <w:sz w:val="22"/>
          <w:szCs w:val="22"/>
          <w:lang w:val="hu-HU"/>
        </w:rPr>
        <w:t>Gurung P, Kanneganti TD.</w:t>
      </w:r>
      <w:r>
        <w:rPr>
          <w:rFonts w:ascii="Calibri" w:hAnsi="Calibri" w:cs="Calibri"/>
          <w:sz w:val="22"/>
          <w:szCs w:val="22"/>
          <w:lang w:val="hu-HU"/>
        </w:rPr>
        <w:t xml:space="preserve"> (2015)</w:t>
      </w:r>
      <w:r w:rsidRPr="006D1988">
        <w:rPr>
          <w:rFonts w:ascii="Calibri" w:hAnsi="Calibri" w:cs="Calibri"/>
          <w:sz w:val="22"/>
          <w:szCs w:val="22"/>
          <w:lang w:val="hu-HU"/>
        </w:rPr>
        <w:t xml:space="preserve"> Innate immunity against Leishmania infections. </w:t>
      </w:r>
      <w:r w:rsidRPr="006D1988">
        <w:rPr>
          <w:rFonts w:ascii="Calibri" w:hAnsi="Calibri" w:cs="Calibri"/>
          <w:i/>
          <w:iCs/>
          <w:sz w:val="22"/>
          <w:szCs w:val="22"/>
          <w:lang w:val="hu-HU"/>
        </w:rPr>
        <w:t>Cell Microbiol</w:t>
      </w:r>
      <w:r>
        <w:rPr>
          <w:rFonts w:ascii="Calibri" w:hAnsi="Calibri" w:cs="Calibri"/>
          <w:sz w:val="22"/>
          <w:szCs w:val="22"/>
          <w:lang w:val="hu-HU"/>
        </w:rPr>
        <w:t xml:space="preserve"> </w:t>
      </w:r>
      <w:r w:rsidRPr="006D1988">
        <w:rPr>
          <w:rFonts w:ascii="Calibri" w:hAnsi="Calibri" w:cs="Calibri"/>
          <w:sz w:val="22"/>
          <w:szCs w:val="22"/>
          <w:lang w:val="hu-HU"/>
        </w:rPr>
        <w:t>17(9):1286-94. doi: 10.1111/cmi.12484.</w:t>
      </w:r>
    </w:p>
    <w:p w14:paraId="004AC0CB" w14:textId="77777777" w:rsidR="00A80114" w:rsidRDefault="00A80114" w:rsidP="00A80114">
      <w:pPr>
        <w:jc w:val="both"/>
        <w:rPr>
          <w:rFonts w:ascii="Calibri" w:hAnsi="Calibri" w:cs="Calibri"/>
          <w:sz w:val="22"/>
          <w:szCs w:val="22"/>
          <w:lang w:val="hu-HU"/>
        </w:rPr>
      </w:pPr>
      <w:r>
        <w:rPr>
          <w:rFonts w:ascii="Calibri" w:hAnsi="Calibri" w:cs="Calibri"/>
          <w:sz w:val="22"/>
          <w:szCs w:val="22"/>
          <w:lang w:val="hu-HU"/>
        </w:rPr>
        <w:t xml:space="preserve">[6] </w:t>
      </w:r>
      <w:r w:rsidRPr="00E368BA">
        <w:rPr>
          <w:rFonts w:ascii="Calibri" w:hAnsi="Calibri" w:cs="Calibri"/>
          <w:sz w:val="22"/>
          <w:szCs w:val="22"/>
          <w:lang w:val="hu-HU"/>
        </w:rPr>
        <w:t xml:space="preserve">Rickard DJ, Sehon CA, Kasparcova V, Kallal LA, Zeng X, Montoute MN, Chordia T, Poore DD, Li H, Wu Z, Eidam PM, Haile PA, Yu J, Emery JG, Marquis RW, Gough PJ, Bertin J. </w:t>
      </w:r>
      <w:r>
        <w:rPr>
          <w:rFonts w:ascii="Calibri" w:hAnsi="Calibri" w:cs="Calibri"/>
          <w:sz w:val="22"/>
          <w:szCs w:val="22"/>
          <w:lang w:val="hu-HU"/>
        </w:rPr>
        <w:t xml:space="preserve">(2013) </w:t>
      </w:r>
      <w:r w:rsidRPr="00E368BA">
        <w:rPr>
          <w:rFonts w:ascii="Calibri" w:hAnsi="Calibri" w:cs="Calibri"/>
          <w:sz w:val="22"/>
          <w:szCs w:val="22"/>
          <w:lang w:val="hu-HU"/>
        </w:rPr>
        <w:t xml:space="preserve">Identification of benzimidazole diamides as selective inhibitors of the nucleotide-binding oligomerization domain 2 (NOD2) signaling pathway. </w:t>
      </w:r>
      <w:r w:rsidRPr="00E368BA">
        <w:rPr>
          <w:rFonts w:ascii="Calibri" w:hAnsi="Calibri" w:cs="Calibri"/>
          <w:i/>
          <w:iCs/>
          <w:sz w:val="22"/>
          <w:szCs w:val="22"/>
          <w:lang w:val="hu-HU"/>
        </w:rPr>
        <w:t>PLoS One</w:t>
      </w:r>
      <w:r>
        <w:rPr>
          <w:rFonts w:ascii="Calibri" w:hAnsi="Calibri" w:cs="Calibri"/>
          <w:sz w:val="22"/>
          <w:szCs w:val="22"/>
          <w:lang w:val="hu-HU"/>
        </w:rPr>
        <w:t xml:space="preserve"> </w:t>
      </w:r>
      <w:r w:rsidRPr="00E368BA">
        <w:rPr>
          <w:rFonts w:ascii="Calibri" w:hAnsi="Calibri" w:cs="Calibri"/>
          <w:sz w:val="22"/>
          <w:szCs w:val="22"/>
          <w:lang w:val="hu-HU"/>
        </w:rPr>
        <w:t>8(8):e69619. doi: 10.1371/journal.pone.0069619.</w:t>
      </w:r>
    </w:p>
    <w:p w14:paraId="0CE10754" w14:textId="77777777" w:rsidR="00A80114" w:rsidRDefault="00A80114" w:rsidP="00A80114">
      <w:pPr>
        <w:rPr>
          <w:rFonts w:ascii="Calibri" w:hAnsi="Calibri" w:cs="Calibri"/>
          <w:spacing w:val="2"/>
          <w:sz w:val="22"/>
          <w:szCs w:val="22"/>
          <w:shd w:val="clear" w:color="auto" w:fill="FFFFFF"/>
        </w:rPr>
      </w:pPr>
    </w:p>
    <w:p w14:paraId="2FE2E3AE" w14:textId="77777777" w:rsidR="00A80114" w:rsidRPr="00FC7BCB" w:rsidRDefault="00A80114" w:rsidP="00A80114">
      <w:pPr>
        <w:rPr>
          <w:rFonts w:ascii="Calibri" w:hAnsi="Calibri" w:cs="Calibri"/>
          <w:b/>
          <w:bCs/>
          <w:spacing w:val="2"/>
          <w:sz w:val="22"/>
          <w:szCs w:val="22"/>
          <w:shd w:val="clear" w:color="auto" w:fill="FFFFFF"/>
        </w:rPr>
      </w:pPr>
      <w:r w:rsidRPr="00FC7BCB">
        <w:rPr>
          <w:rFonts w:ascii="Calibri" w:hAnsi="Calibri" w:cs="Calibri"/>
          <w:b/>
          <w:bCs/>
          <w:spacing w:val="2"/>
          <w:sz w:val="22"/>
          <w:szCs w:val="22"/>
          <w:shd w:val="clear" w:color="auto" w:fill="FFFFFF"/>
        </w:rPr>
        <w:t>Acknowledgment</w:t>
      </w:r>
    </w:p>
    <w:p w14:paraId="2E454C99" w14:textId="77777777" w:rsidR="00A80114" w:rsidRDefault="00A80114" w:rsidP="00A80114">
      <w:pPr>
        <w:jc w:val="both"/>
        <w:rPr>
          <w:rFonts w:ascii="Calibri" w:hAnsi="Calibri" w:cs="Calibri"/>
          <w:sz w:val="22"/>
          <w:szCs w:val="22"/>
        </w:rPr>
      </w:pPr>
      <w:r w:rsidRPr="00FC7BCB">
        <w:rPr>
          <w:rFonts w:ascii="Calibri" w:hAnsi="Calibri" w:cs="Calibri"/>
          <w:spacing w:val="2"/>
          <w:sz w:val="22"/>
          <w:szCs w:val="22"/>
          <w:shd w:val="clear" w:color="auto" w:fill="FFFFFF"/>
        </w:rPr>
        <w:t xml:space="preserve">The Authors acknowledge </w:t>
      </w:r>
      <w:r w:rsidRPr="000F7BFC">
        <w:rPr>
          <w:rFonts w:ascii="Calibri" w:hAnsi="Calibri" w:cs="Calibri"/>
          <w:sz w:val="22"/>
          <w:szCs w:val="22"/>
        </w:rPr>
        <w:t>Piano di Sostegno alla Ricerca (PSR) 202</w:t>
      </w:r>
      <w:r>
        <w:rPr>
          <w:rFonts w:ascii="Calibri" w:hAnsi="Calibri" w:cs="Calibri"/>
          <w:sz w:val="22"/>
          <w:szCs w:val="22"/>
        </w:rPr>
        <w:t xml:space="preserve">4, </w:t>
      </w:r>
      <w:r w:rsidRPr="000F7BFC">
        <w:rPr>
          <w:rFonts w:ascii="Calibri" w:hAnsi="Calibri" w:cs="Calibri"/>
          <w:sz w:val="22"/>
          <w:szCs w:val="22"/>
        </w:rPr>
        <w:t>Università degli Studi di Milano</w:t>
      </w:r>
      <w:r>
        <w:rPr>
          <w:rFonts w:ascii="Calibri" w:hAnsi="Calibri" w:cs="Calibri"/>
          <w:sz w:val="22"/>
          <w:szCs w:val="22"/>
        </w:rPr>
        <w:t>,</w:t>
      </w:r>
      <w:r w:rsidRPr="00FC7BCB">
        <w:rPr>
          <w:rFonts w:ascii="Calibri" w:hAnsi="Calibri" w:cs="Calibri"/>
          <w:sz w:val="22"/>
          <w:szCs w:val="22"/>
        </w:rPr>
        <w:t xml:space="preserve"> for the financial support.</w:t>
      </w:r>
    </w:p>
    <w:p w14:paraId="339860E0" w14:textId="326426CC" w:rsidR="00A80114" w:rsidRDefault="00A80114">
      <w:pPr>
        <w:rPr>
          <w:rFonts w:ascii="Calibri" w:hAnsi="Calibri" w:cs="Calibri"/>
          <w:sz w:val="22"/>
          <w:szCs w:val="22"/>
        </w:rPr>
      </w:pPr>
      <w:r>
        <w:rPr>
          <w:rFonts w:ascii="Calibri" w:hAnsi="Calibri" w:cs="Calibri"/>
          <w:sz w:val="22"/>
          <w:szCs w:val="22"/>
        </w:rPr>
        <w:br w:type="page"/>
      </w:r>
    </w:p>
    <w:p w14:paraId="279E19A0" w14:textId="77777777" w:rsidR="00E55891" w:rsidRDefault="00E55891" w:rsidP="00E55891">
      <w:pPr>
        <w:spacing w:line="264" w:lineRule="auto"/>
        <w:jc w:val="center"/>
        <w:rPr>
          <w:rFonts w:ascii="Calibri" w:hAnsi="Calibri" w:cs="Calibri"/>
          <w:b/>
          <w:bCs/>
          <w:color w:val="2E74B5" w:themeColor="accent5" w:themeShade="BF"/>
          <w:lang w:val="en-GB"/>
        </w:rPr>
      </w:pPr>
    </w:p>
    <w:p w14:paraId="29231C14" w14:textId="77777777" w:rsidR="00CF0E0C" w:rsidRDefault="00CF0E0C" w:rsidP="00CF0E0C">
      <w:pPr>
        <w:spacing w:line="264" w:lineRule="auto"/>
        <w:jc w:val="center"/>
        <w:rPr>
          <w:rFonts w:ascii="Calibri" w:hAnsi="Calibri" w:cs="Calibri"/>
          <w:b/>
          <w:bCs/>
          <w:color w:val="2E74B5" w:themeColor="accent5" w:themeShade="BF"/>
          <w:lang w:val="en-GB"/>
        </w:rPr>
      </w:pPr>
      <w:r w:rsidRPr="00FC5785">
        <w:rPr>
          <w:rFonts w:ascii="Calibri" w:hAnsi="Calibri" w:cs="Calibri"/>
          <w:b/>
          <w:bCs/>
          <w:color w:val="2E74B5" w:themeColor="accent5" w:themeShade="BF"/>
          <w:lang w:val="en-GB"/>
        </w:rPr>
        <w:t xml:space="preserve">Investigation of the bifunctional enzyme dihydrofolate reductase-thymidylate synthase (DHFR-TS) from </w:t>
      </w:r>
      <w:r w:rsidRPr="00FC5785">
        <w:rPr>
          <w:rFonts w:ascii="Calibri" w:hAnsi="Calibri" w:cs="Calibri"/>
          <w:b/>
          <w:bCs/>
          <w:i/>
          <w:iCs/>
          <w:color w:val="2E74B5" w:themeColor="accent5" w:themeShade="BF"/>
          <w:lang w:val="en-GB"/>
        </w:rPr>
        <w:t>Leishmania major</w:t>
      </w:r>
    </w:p>
    <w:p w14:paraId="42F8F286" w14:textId="77777777" w:rsidR="00CF0E0C" w:rsidRPr="003A7DD4" w:rsidRDefault="00CF0E0C" w:rsidP="00CF0E0C">
      <w:pPr>
        <w:spacing w:line="264" w:lineRule="auto"/>
        <w:rPr>
          <w:rFonts w:ascii="Calibri" w:hAnsi="Calibri" w:cs="Calibri"/>
          <w:b/>
          <w:bCs/>
          <w:color w:val="000000" w:themeColor="text1"/>
        </w:rPr>
      </w:pPr>
    </w:p>
    <w:p w14:paraId="637CCE8D" w14:textId="77777777" w:rsidR="00CF0E0C" w:rsidRPr="006904D0" w:rsidRDefault="00CF0E0C" w:rsidP="00CF0E0C">
      <w:pPr>
        <w:spacing w:line="360" w:lineRule="auto"/>
        <w:jc w:val="center"/>
        <w:rPr>
          <w:rFonts w:asciiTheme="minorHAnsi" w:hAnsiTheme="minorHAnsi" w:cstheme="minorHAnsi"/>
          <w:lang w:val="en-GB"/>
        </w:rPr>
      </w:pPr>
      <w:r w:rsidRPr="006904D0">
        <w:rPr>
          <w:rFonts w:asciiTheme="minorHAnsi" w:hAnsiTheme="minorHAnsi" w:cstheme="minorHAnsi"/>
          <w:color w:val="000000"/>
          <w:u w:val="single"/>
          <w:lang w:val="en-GB"/>
        </w:rPr>
        <w:t>Cintesun S</w:t>
      </w:r>
      <w:r>
        <w:rPr>
          <w:rFonts w:asciiTheme="minorHAnsi" w:hAnsiTheme="minorHAnsi" w:cstheme="minorHAnsi"/>
          <w:color w:val="000000"/>
          <w:u w:val="single"/>
          <w:lang w:val="en-GB"/>
        </w:rPr>
        <w:t>ener</w:t>
      </w:r>
      <w:r w:rsidRPr="006904D0">
        <w:rPr>
          <w:rFonts w:asciiTheme="minorHAnsi" w:hAnsiTheme="minorHAnsi" w:cstheme="minorHAnsi"/>
          <w:color w:val="000000"/>
          <w:u w:val="single"/>
          <w:lang w:val="en-GB"/>
        </w:rPr>
        <w:t xml:space="preserve">, </w:t>
      </w:r>
      <w:r w:rsidRPr="006904D0">
        <w:rPr>
          <w:rFonts w:asciiTheme="minorHAnsi" w:hAnsiTheme="minorHAnsi" w:cstheme="minorHAnsi"/>
          <w:color w:val="000000"/>
          <w:vertAlign w:val="superscript"/>
          <w:lang w:val="en-GB"/>
        </w:rPr>
        <w:t>a</w:t>
      </w:r>
      <w:r w:rsidRPr="006904D0">
        <w:rPr>
          <w:rFonts w:asciiTheme="minorHAnsi" w:hAnsiTheme="minorHAnsi" w:cstheme="minorHAnsi"/>
          <w:color w:val="000000"/>
          <w:lang w:val="en-GB"/>
        </w:rPr>
        <w:t xml:space="preserve"> Pozzi C</w:t>
      </w:r>
      <w:r>
        <w:rPr>
          <w:rFonts w:asciiTheme="minorHAnsi" w:hAnsiTheme="minorHAnsi" w:cstheme="minorHAnsi"/>
          <w:color w:val="000000"/>
          <w:lang w:val="en-GB"/>
        </w:rPr>
        <w:t>ecilia</w:t>
      </w:r>
      <w:r w:rsidRPr="006904D0">
        <w:rPr>
          <w:rFonts w:asciiTheme="minorHAnsi" w:hAnsiTheme="minorHAnsi" w:cstheme="minorHAnsi"/>
          <w:color w:val="000000"/>
          <w:vertAlign w:val="superscript"/>
          <w:lang w:val="en-GB"/>
        </w:rPr>
        <w:t>b</w:t>
      </w:r>
    </w:p>
    <w:p w14:paraId="460CE930" w14:textId="77777777" w:rsidR="00CF0E0C" w:rsidRPr="00B82C29" w:rsidRDefault="00CF0E0C" w:rsidP="00CF0E0C">
      <w:pPr>
        <w:jc w:val="center"/>
        <w:rPr>
          <w:rFonts w:asciiTheme="minorHAnsi" w:hAnsiTheme="minorHAnsi" w:cstheme="minorHAnsi"/>
          <w:color w:val="000000"/>
          <w:sz w:val="22"/>
          <w:szCs w:val="22"/>
          <w:lang w:val="en-GB"/>
        </w:rPr>
      </w:pPr>
      <w:r w:rsidRPr="00B82C29">
        <w:rPr>
          <w:rFonts w:asciiTheme="minorHAnsi" w:hAnsiTheme="minorHAnsi" w:cstheme="minorHAnsi"/>
          <w:color w:val="000000"/>
          <w:sz w:val="22"/>
          <w:szCs w:val="22"/>
          <w:vertAlign w:val="superscript"/>
          <w:lang w:val="en-GB"/>
        </w:rPr>
        <w:t xml:space="preserve">a </w:t>
      </w:r>
      <w:r w:rsidRPr="00B82C29">
        <w:rPr>
          <w:rFonts w:asciiTheme="minorHAnsi" w:hAnsiTheme="minorHAnsi" w:cstheme="minorHAnsi"/>
          <w:color w:val="000000"/>
          <w:sz w:val="22"/>
          <w:szCs w:val="22"/>
          <w:lang w:val="en-GB"/>
        </w:rPr>
        <w:t xml:space="preserve">Yildiz Technical University, Turkiye; </w:t>
      </w:r>
      <w:r w:rsidRPr="00B82C29">
        <w:rPr>
          <w:rFonts w:asciiTheme="minorHAnsi" w:hAnsiTheme="minorHAnsi" w:cstheme="minorHAnsi"/>
          <w:color w:val="000000"/>
          <w:sz w:val="22"/>
          <w:szCs w:val="22"/>
          <w:vertAlign w:val="superscript"/>
          <w:lang w:val="en-GB"/>
        </w:rPr>
        <w:t xml:space="preserve">b </w:t>
      </w:r>
      <w:r w:rsidRPr="00B82C29">
        <w:rPr>
          <w:rFonts w:asciiTheme="minorHAnsi" w:hAnsiTheme="minorHAnsi" w:cstheme="minorHAnsi"/>
          <w:color w:val="000000"/>
          <w:sz w:val="22"/>
          <w:szCs w:val="22"/>
          <w:lang w:val="en-GB"/>
        </w:rPr>
        <w:t>University of Siena, Italy.</w:t>
      </w:r>
    </w:p>
    <w:p w14:paraId="785ABAD7" w14:textId="77777777" w:rsidR="00CF0E0C" w:rsidRPr="00B82C29" w:rsidRDefault="00CF0E0C" w:rsidP="00CF0E0C">
      <w:pPr>
        <w:jc w:val="center"/>
        <w:rPr>
          <w:rFonts w:asciiTheme="minorHAnsi" w:hAnsiTheme="minorHAnsi" w:cstheme="minorHAnsi"/>
          <w:color w:val="000000"/>
          <w:sz w:val="22"/>
          <w:szCs w:val="22"/>
        </w:rPr>
      </w:pPr>
      <w:r w:rsidRPr="00B82C29">
        <w:rPr>
          <w:rFonts w:asciiTheme="minorHAnsi" w:hAnsiTheme="minorHAnsi" w:cstheme="minorHAnsi"/>
          <w:color w:val="000000"/>
          <w:sz w:val="22"/>
          <w:szCs w:val="22"/>
        </w:rPr>
        <w:t>cintesun@yildiz.edu.tr</w:t>
      </w:r>
    </w:p>
    <w:p w14:paraId="4BBEB33B" w14:textId="77777777" w:rsidR="00CF0E0C" w:rsidRPr="008A10D3" w:rsidRDefault="00CF0E0C" w:rsidP="00CF0E0C">
      <w:pPr>
        <w:jc w:val="center"/>
        <w:rPr>
          <w:rFonts w:asciiTheme="minorHAnsi" w:hAnsiTheme="minorHAnsi" w:cstheme="minorHAnsi"/>
          <w:sz w:val="22"/>
          <w:szCs w:val="22"/>
        </w:rPr>
      </w:pPr>
    </w:p>
    <w:p w14:paraId="6DEEB247" w14:textId="77777777" w:rsidR="00CF0E0C" w:rsidRPr="00B82C29" w:rsidRDefault="00CF0E0C" w:rsidP="00CF0E0C">
      <w:pPr>
        <w:jc w:val="both"/>
        <w:rPr>
          <w:rFonts w:asciiTheme="minorHAnsi" w:hAnsiTheme="minorHAnsi" w:cstheme="minorHAnsi"/>
        </w:rPr>
      </w:pPr>
      <w:r w:rsidRPr="00B82C29">
        <w:rPr>
          <w:rFonts w:asciiTheme="minorHAnsi" w:hAnsiTheme="minorHAnsi" w:cstheme="minorHAnsi"/>
        </w:rPr>
        <w:t xml:space="preserve">Leishmaniasis is a tropical disease caused by a vector-borne, obligate intracellular protozoan parasite of the genus </w:t>
      </w:r>
      <w:r w:rsidRPr="00B82C29">
        <w:rPr>
          <w:rFonts w:asciiTheme="minorHAnsi" w:hAnsiTheme="minorHAnsi" w:cstheme="minorHAnsi"/>
          <w:i/>
        </w:rPr>
        <w:t>Leishmania</w:t>
      </w:r>
      <w:r w:rsidRPr="00B82C29">
        <w:rPr>
          <w:rFonts w:asciiTheme="minorHAnsi" w:hAnsiTheme="minorHAnsi" w:cstheme="minorHAnsi"/>
        </w:rPr>
        <w:t xml:space="preserve"> [1].  Dihydrofolate reductase thymidylate synthase (DHFR-TS) is a bifunctional enzyme that exists as a single unit in </w:t>
      </w:r>
      <w:r w:rsidRPr="00B82C29">
        <w:rPr>
          <w:rFonts w:asciiTheme="minorHAnsi" w:hAnsiTheme="minorHAnsi" w:cstheme="minorHAnsi"/>
          <w:i/>
        </w:rPr>
        <w:t>Leishmania</w:t>
      </w:r>
      <w:r w:rsidRPr="00B82C29">
        <w:rPr>
          <w:rFonts w:asciiTheme="minorHAnsi" w:hAnsiTheme="minorHAnsi" w:cstheme="minorHAnsi"/>
        </w:rPr>
        <w:t xml:space="preserve"> parasites and is vital in folate biosynthesis. The folate cycle is a vital process that enables the parasite to produce nucleotides and folate necessary for DNA and RNA synthesis, and for cellular growth [2]. Thus the activity of </w:t>
      </w:r>
      <w:r w:rsidRPr="00B82C29">
        <w:rPr>
          <w:rFonts w:asciiTheme="minorHAnsi" w:hAnsiTheme="minorHAnsi" w:cstheme="minorHAnsi"/>
          <w:iCs/>
        </w:rPr>
        <w:t>DHFR-TS</w:t>
      </w:r>
      <w:r w:rsidRPr="00B82C29">
        <w:rPr>
          <w:rFonts w:asciiTheme="minorHAnsi" w:hAnsiTheme="minorHAnsi" w:cstheme="minorHAnsi"/>
        </w:rPr>
        <w:t xml:space="preserve"> is necessary for parasite survival, making this enzyme a promising target for new treatment approaches. The objective of the present study is to produce, purify and characterize the bifunctional enzyme DHFR-TS of Leishmania major and to perform functional studies on its isolated domains. For this purpose the pET-15b-TEV-</w:t>
      </w:r>
      <w:r w:rsidRPr="00B82C29">
        <w:rPr>
          <w:rFonts w:asciiTheme="minorHAnsi" w:hAnsiTheme="minorHAnsi" w:cstheme="minorHAnsi"/>
          <w:i/>
          <w:iCs/>
        </w:rPr>
        <w:t>Lm</w:t>
      </w:r>
      <w:r w:rsidRPr="00B82C29">
        <w:rPr>
          <w:rFonts w:asciiTheme="minorHAnsi" w:hAnsiTheme="minorHAnsi" w:cstheme="minorHAnsi"/>
        </w:rPr>
        <w:t>DHFR-TS and pET-15b-TEV-</w:t>
      </w:r>
      <w:r w:rsidRPr="00B82C29">
        <w:rPr>
          <w:rFonts w:asciiTheme="minorHAnsi" w:hAnsiTheme="minorHAnsi" w:cstheme="minorHAnsi"/>
          <w:i/>
          <w:iCs/>
        </w:rPr>
        <w:t>Lm</w:t>
      </w:r>
      <w:r w:rsidRPr="00B82C29">
        <w:rPr>
          <w:rFonts w:asciiTheme="minorHAnsi" w:hAnsiTheme="minorHAnsi" w:cstheme="minorHAnsi"/>
        </w:rPr>
        <w:t xml:space="preserve">DHFR plasmids were employed for the production of wild-type enzymes in </w:t>
      </w:r>
      <w:r w:rsidRPr="00B82C29">
        <w:rPr>
          <w:rFonts w:asciiTheme="minorHAnsi" w:hAnsiTheme="minorHAnsi" w:cstheme="minorHAnsi"/>
          <w:i/>
        </w:rPr>
        <w:t>E. coli</w:t>
      </w:r>
      <w:r w:rsidRPr="00B82C29">
        <w:rPr>
          <w:rFonts w:asciiTheme="minorHAnsi" w:hAnsiTheme="minorHAnsi" w:cstheme="minorHAnsi"/>
        </w:rPr>
        <w:t xml:space="preserve"> ArcticExpress (DE3) cells. The enzymes were purified using nickel-affinity and size exclusion chromatography. Five different mutants were generated by site-directed mutagenesis in the </w:t>
      </w:r>
      <w:r w:rsidRPr="00B82C29">
        <w:rPr>
          <w:rFonts w:asciiTheme="minorHAnsi" w:hAnsiTheme="minorHAnsi" w:cstheme="minorHAnsi"/>
          <w:i/>
          <w:iCs/>
        </w:rPr>
        <w:t>DHFR</w:t>
      </w:r>
      <w:r w:rsidRPr="00B82C29">
        <w:rPr>
          <w:rFonts w:asciiTheme="minorHAnsi" w:hAnsiTheme="minorHAnsi" w:cstheme="minorHAnsi"/>
        </w:rPr>
        <w:t xml:space="preserve"> active site of both the bifunctional enzyme and the isolated </w:t>
      </w:r>
      <w:r w:rsidRPr="00B82C29">
        <w:rPr>
          <w:rFonts w:asciiTheme="minorHAnsi" w:hAnsiTheme="minorHAnsi" w:cstheme="minorHAnsi"/>
          <w:i/>
          <w:iCs/>
        </w:rPr>
        <w:t>Lm</w:t>
      </w:r>
      <w:r w:rsidRPr="00B82C29">
        <w:rPr>
          <w:rFonts w:asciiTheme="minorHAnsi" w:hAnsiTheme="minorHAnsi" w:cstheme="minorHAnsi"/>
        </w:rPr>
        <w:t>DHFR</w:t>
      </w:r>
      <w:r w:rsidRPr="00B82C29">
        <w:rPr>
          <w:rFonts w:asciiTheme="minorHAnsi" w:hAnsiTheme="minorHAnsi" w:cstheme="minorHAnsi"/>
          <w:i/>
          <w:iCs/>
        </w:rPr>
        <w:t xml:space="preserve"> </w:t>
      </w:r>
      <w:r w:rsidRPr="00B82C29">
        <w:rPr>
          <w:rFonts w:asciiTheme="minorHAnsi" w:hAnsiTheme="minorHAnsi" w:cstheme="minorHAnsi"/>
        </w:rPr>
        <w:t>domain to investigate their functional role in the catalyzed reaction. The production and kinetic characterization of the point mutant enzymes will be performed in accordance with the protocols established for the parent wild-type proteins. This study will facilitate a deeper understanding of the functional roles of mutations in the DHFR active site in the catalysis reaction and provide insights for designing more effective selective inhibitors.</w:t>
      </w:r>
    </w:p>
    <w:p w14:paraId="793A3172" w14:textId="77777777" w:rsidR="00CF0E0C" w:rsidRDefault="00CF0E0C" w:rsidP="00CF0E0C">
      <w:pPr>
        <w:rPr>
          <w:rFonts w:asciiTheme="minorHAnsi" w:hAnsiTheme="minorHAnsi" w:cstheme="minorHAnsi"/>
        </w:rPr>
      </w:pPr>
    </w:p>
    <w:p w14:paraId="4887D295" w14:textId="77777777" w:rsidR="00CF0E0C" w:rsidRPr="006904D0" w:rsidRDefault="00CF0E0C" w:rsidP="00CF0E0C">
      <w:pPr>
        <w:rPr>
          <w:rFonts w:asciiTheme="minorHAnsi" w:hAnsiTheme="minorHAnsi" w:cstheme="minorHAnsi"/>
          <w:b/>
          <w:bCs/>
          <w:sz w:val="22"/>
          <w:szCs w:val="22"/>
        </w:rPr>
      </w:pPr>
      <w:r w:rsidRPr="006904D0">
        <w:rPr>
          <w:rFonts w:asciiTheme="minorHAnsi" w:hAnsiTheme="minorHAnsi" w:cstheme="minorHAnsi"/>
          <w:b/>
          <w:bCs/>
          <w:sz w:val="22"/>
          <w:szCs w:val="22"/>
        </w:rPr>
        <w:t>References</w:t>
      </w:r>
    </w:p>
    <w:p w14:paraId="1DA674D3" w14:textId="77777777" w:rsidR="00CF0E0C" w:rsidRPr="006904D0" w:rsidRDefault="00CF0E0C" w:rsidP="00CF0E0C">
      <w:pPr>
        <w:jc w:val="both"/>
        <w:rPr>
          <w:rFonts w:asciiTheme="minorHAnsi" w:hAnsiTheme="minorHAnsi" w:cstheme="minorHAnsi"/>
          <w:spacing w:val="2"/>
          <w:sz w:val="22"/>
          <w:szCs w:val="22"/>
          <w:shd w:val="clear" w:color="auto" w:fill="FFFFFF"/>
        </w:rPr>
      </w:pPr>
      <w:r w:rsidRPr="00EB3011">
        <w:rPr>
          <w:rFonts w:asciiTheme="minorHAnsi" w:hAnsiTheme="minorHAnsi" w:cstheme="minorHAnsi"/>
          <w:spacing w:val="2"/>
          <w:sz w:val="22"/>
          <w:szCs w:val="22"/>
          <w:shd w:val="clear" w:color="auto" w:fill="FFFFFF"/>
        </w:rPr>
        <w:t>[1] Mann, S., Frasca, K., Scherrer, S., Henao-Martínez, A. F., Newman, S</w:t>
      </w:r>
      <w:r>
        <w:rPr>
          <w:rFonts w:asciiTheme="minorHAnsi" w:hAnsiTheme="minorHAnsi" w:cstheme="minorHAnsi"/>
          <w:spacing w:val="2"/>
          <w:sz w:val="22"/>
          <w:szCs w:val="22"/>
          <w:shd w:val="clear" w:color="auto" w:fill="FFFFFF"/>
        </w:rPr>
        <w:t xml:space="preserve">., Ramanan, P., &amp; Suarez, J. A. </w:t>
      </w:r>
      <w:r w:rsidRPr="00EB3011">
        <w:rPr>
          <w:rFonts w:asciiTheme="minorHAnsi" w:hAnsiTheme="minorHAnsi" w:cstheme="minorHAnsi"/>
          <w:spacing w:val="2"/>
          <w:sz w:val="22"/>
          <w:szCs w:val="22"/>
          <w:shd w:val="clear" w:color="auto" w:fill="FFFFFF"/>
        </w:rPr>
        <w:t>(2021). A review of leishmaniasis: current knowledge and future directions. Current tropical medicine</w:t>
      </w:r>
      <w:r>
        <w:rPr>
          <w:rFonts w:asciiTheme="minorHAnsi" w:hAnsiTheme="minorHAnsi" w:cstheme="minorHAnsi"/>
          <w:spacing w:val="2"/>
          <w:sz w:val="22"/>
          <w:szCs w:val="22"/>
          <w:shd w:val="clear" w:color="auto" w:fill="FFFFFF"/>
        </w:rPr>
        <w:t xml:space="preserve"> </w:t>
      </w:r>
      <w:r w:rsidRPr="00EB3011">
        <w:rPr>
          <w:rFonts w:asciiTheme="minorHAnsi" w:hAnsiTheme="minorHAnsi" w:cstheme="minorHAnsi"/>
          <w:spacing w:val="2"/>
          <w:sz w:val="22"/>
          <w:szCs w:val="22"/>
          <w:shd w:val="clear" w:color="auto" w:fill="FFFFFF"/>
        </w:rPr>
        <w:t xml:space="preserve">reports, 8, 121-132. </w:t>
      </w:r>
      <w:r>
        <w:rPr>
          <w:rFonts w:asciiTheme="minorHAnsi" w:hAnsiTheme="minorHAnsi" w:cstheme="minorHAnsi"/>
          <w:spacing w:val="2"/>
          <w:sz w:val="22"/>
          <w:szCs w:val="22"/>
          <w:shd w:val="clear" w:color="auto" w:fill="FFFFFF"/>
        </w:rPr>
        <w:t xml:space="preserve"> [2]</w:t>
      </w:r>
      <w:r w:rsidRPr="00EB3011">
        <w:rPr>
          <w:rFonts w:asciiTheme="minorHAnsi" w:hAnsiTheme="minorHAnsi" w:cstheme="minorHAnsi"/>
          <w:spacing w:val="2"/>
          <w:sz w:val="22"/>
          <w:szCs w:val="22"/>
          <w:shd w:val="clear" w:color="auto" w:fill="FFFFFF"/>
        </w:rPr>
        <w:t xml:space="preserve"> Shamshad, H., Bakri, R., &amp; Mirza, A. Z. (2022). Dihydrofolate reductase, thymidylate synthase, and</w:t>
      </w:r>
      <w:r>
        <w:rPr>
          <w:rFonts w:asciiTheme="minorHAnsi" w:hAnsiTheme="minorHAnsi" w:cstheme="minorHAnsi"/>
          <w:spacing w:val="2"/>
          <w:sz w:val="22"/>
          <w:szCs w:val="22"/>
          <w:shd w:val="clear" w:color="auto" w:fill="FFFFFF"/>
        </w:rPr>
        <w:t xml:space="preserve"> </w:t>
      </w:r>
      <w:r w:rsidRPr="00EB3011">
        <w:rPr>
          <w:rFonts w:asciiTheme="minorHAnsi" w:hAnsiTheme="minorHAnsi" w:cstheme="minorHAnsi"/>
          <w:spacing w:val="2"/>
          <w:sz w:val="22"/>
          <w:szCs w:val="22"/>
          <w:shd w:val="clear" w:color="auto" w:fill="FFFFFF"/>
        </w:rPr>
        <w:t>serine hydroxy methyltransferase: Successful targets against some infectious diseases. Molecular Biology</w:t>
      </w:r>
      <w:r>
        <w:rPr>
          <w:rFonts w:asciiTheme="minorHAnsi" w:hAnsiTheme="minorHAnsi" w:cstheme="minorHAnsi"/>
          <w:spacing w:val="2"/>
          <w:sz w:val="22"/>
          <w:szCs w:val="22"/>
          <w:shd w:val="clear" w:color="auto" w:fill="FFFFFF"/>
        </w:rPr>
        <w:t xml:space="preserve"> Reports, 49(7), 6659-6691. </w:t>
      </w:r>
    </w:p>
    <w:p w14:paraId="15DC7C33" w14:textId="77777777" w:rsidR="00CF0E0C" w:rsidRPr="006904D0" w:rsidRDefault="00CF0E0C" w:rsidP="00CF0E0C">
      <w:pPr>
        <w:rPr>
          <w:rFonts w:asciiTheme="minorHAnsi" w:hAnsiTheme="minorHAnsi" w:cstheme="minorHAnsi"/>
          <w:spacing w:val="2"/>
          <w:sz w:val="22"/>
          <w:szCs w:val="22"/>
          <w:shd w:val="clear" w:color="auto" w:fill="FFFFFF"/>
        </w:rPr>
      </w:pPr>
    </w:p>
    <w:p w14:paraId="4695772F" w14:textId="77777777" w:rsidR="00CF0E0C" w:rsidRPr="006904D0" w:rsidRDefault="00CF0E0C" w:rsidP="00CF0E0C">
      <w:pPr>
        <w:rPr>
          <w:rFonts w:asciiTheme="minorHAnsi" w:hAnsiTheme="minorHAnsi" w:cstheme="minorHAnsi"/>
          <w:b/>
          <w:bCs/>
          <w:spacing w:val="2"/>
          <w:sz w:val="22"/>
          <w:szCs w:val="22"/>
          <w:shd w:val="clear" w:color="auto" w:fill="FFFFFF"/>
        </w:rPr>
      </w:pPr>
      <w:r w:rsidRPr="006904D0">
        <w:rPr>
          <w:rFonts w:asciiTheme="minorHAnsi" w:hAnsiTheme="minorHAnsi" w:cstheme="minorHAnsi"/>
          <w:b/>
          <w:bCs/>
          <w:spacing w:val="2"/>
          <w:sz w:val="22"/>
          <w:szCs w:val="22"/>
          <w:shd w:val="clear" w:color="auto" w:fill="FFFFFF"/>
        </w:rPr>
        <w:t>Acknowledgment</w:t>
      </w:r>
    </w:p>
    <w:p w14:paraId="6F0A2AED" w14:textId="77777777" w:rsidR="00CF0E0C" w:rsidRPr="00570397" w:rsidRDefault="00CF0E0C" w:rsidP="00CF0E0C">
      <w:pPr>
        <w:jc w:val="both"/>
        <w:rPr>
          <w:rFonts w:asciiTheme="minorHAnsi" w:hAnsiTheme="minorHAnsi" w:cstheme="minorHAnsi"/>
          <w:sz w:val="22"/>
          <w:szCs w:val="22"/>
        </w:rPr>
      </w:pPr>
      <w:r w:rsidRPr="008A5BA8">
        <w:rPr>
          <w:rFonts w:asciiTheme="minorHAnsi" w:hAnsiTheme="minorHAnsi" w:cstheme="minorHAnsi"/>
          <w:spacing w:val="2"/>
          <w:sz w:val="22"/>
          <w:szCs w:val="22"/>
          <w:shd w:val="clear" w:color="auto" w:fill="FFFFFF"/>
        </w:rPr>
        <w:lastRenderedPageBreak/>
        <w:t>The authors acknowledge the financial support provided by COST Action CA21111 OneHealthdrugs.</w:t>
      </w:r>
      <w:r>
        <w:rPr>
          <w:rFonts w:ascii="Calibri" w:hAnsi="Calibri" w:cs="Calibri"/>
          <w:sz w:val="22"/>
          <w:szCs w:val="22"/>
        </w:rPr>
        <w:br w:type="page"/>
      </w:r>
    </w:p>
    <w:p w14:paraId="12AFBD5E" w14:textId="77777777" w:rsidR="00E55891" w:rsidRDefault="00E55891" w:rsidP="00A80114">
      <w:pPr>
        <w:spacing w:line="264" w:lineRule="auto"/>
        <w:jc w:val="center"/>
        <w:rPr>
          <w:rFonts w:ascii="Calibri" w:hAnsi="Calibri" w:cs="Calibri"/>
          <w:color w:val="000000" w:themeColor="text1"/>
          <w:lang w:val="en-GB"/>
        </w:rPr>
      </w:pPr>
    </w:p>
    <w:p w14:paraId="7D7A65F4" w14:textId="49282ACF" w:rsidR="00E55891" w:rsidRDefault="00E55891" w:rsidP="00E55891">
      <w:pPr>
        <w:spacing w:line="264" w:lineRule="auto"/>
        <w:jc w:val="center"/>
        <w:rPr>
          <w:rFonts w:ascii="Calibri" w:hAnsi="Calibri" w:cs="Calibri"/>
          <w:b/>
          <w:bCs/>
          <w:color w:val="2E74B5" w:themeColor="accent5" w:themeShade="BF"/>
          <w:lang w:val="en-GB"/>
        </w:rPr>
      </w:pPr>
      <w:r w:rsidRPr="00E55891">
        <w:rPr>
          <w:rFonts w:ascii="Calibri" w:hAnsi="Calibri" w:cs="Calibri"/>
          <w:b/>
          <w:bCs/>
          <w:color w:val="2E74B5" w:themeColor="accent5" w:themeShade="BF"/>
          <w:lang w:val="en-GB"/>
        </w:rPr>
        <w:t>Synergistic inhibition of Plasmodium’s vital proteins: A multi-target strategy using Buxus sempervirens</w:t>
      </w:r>
    </w:p>
    <w:p w14:paraId="6A613147" w14:textId="77777777" w:rsidR="00E55891" w:rsidRPr="00E55891" w:rsidRDefault="00E55891" w:rsidP="00E55891">
      <w:pPr>
        <w:spacing w:line="264" w:lineRule="auto"/>
        <w:jc w:val="center"/>
        <w:rPr>
          <w:rFonts w:ascii="Calibri" w:hAnsi="Calibri" w:cs="Calibri"/>
          <w:color w:val="000000" w:themeColor="text1"/>
          <w:lang w:val="en-GB"/>
        </w:rPr>
      </w:pPr>
    </w:p>
    <w:p w14:paraId="66C9A01F" w14:textId="77777777" w:rsidR="00E55891" w:rsidRPr="00E55891" w:rsidRDefault="00E55891" w:rsidP="00E55891">
      <w:pPr>
        <w:spacing w:line="264" w:lineRule="auto"/>
        <w:jc w:val="center"/>
        <w:rPr>
          <w:rFonts w:ascii="Calibri" w:hAnsi="Calibri" w:cs="Calibri"/>
          <w:color w:val="000000" w:themeColor="text1"/>
          <w:lang w:val="en-GB"/>
        </w:rPr>
      </w:pPr>
      <w:r w:rsidRPr="00E55891">
        <w:rPr>
          <w:rFonts w:ascii="Calibri" w:hAnsi="Calibri" w:cs="Calibri"/>
          <w:color w:val="000000" w:themeColor="text1"/>
          <w:u w:val="single"/>
          <w:lang w:val="en-GB"/>
        </w:rPr>
        <w:t>Tomilola Akingbade</w:t>
      </w:r>
      <w:r w:rsidRPr="00E55891">
        <w:rPr>
          <w:rFonts w:ascii="Calibri" w:hAnsi="Calibri" w:cs="Calibri"/>
          <w:color w:val="000000" w:themeColor="text1"/>
          <w:vertAlign w:val="superscript"/>
          <w:lang w:val="en-GB"/>
        </w:rPr>
        <w:t>1</w:t>
      </w:r>
      <w:r w:rsidRPr="00E55891">
        <w:rPr>
          <w:rFonts w:ascii="Calibri" w:hAnsi="Calibri" w:cs="Calibri"/>
          <w:color w:val="000000" w:themeColor="text1"/>
          <w:lang w:val="en-GB"/>
        </w:rPr>
        <w:t xml:space="preserve"> *, Ayobami Fidelix</w:t>
      </w:r>
      <w:r w:rsidRPr="00E55891">
        <w:rPr>
          <w:rFonts w:ascii="Calibri" w:hAnsi="Calibri" w:cs="Calibri"/>
          <w:color w:val="000000" w:themeColor="text1"/>
          <w:vertAlign w:val="superscript"/>
          <w:lang w:val="en-GB"/>
        </w:rPr>
        <w:t>2</w:t>
      </w:r>
      <w:r w:rsidRPr="00E55891">
        <w:rPr>
          <w:rFonts w:ascii="Calibri" w:hAnsi="Calibri" w:cs="Calibri"/>
          <w:color w:val="000000" w:themeColor="text1"/>
          <w:lang w:val="en-GB"/>
        </w:rPr>
        <w:t xml:space="preserve"> , Olabuntu Babatunde</w:t>
      </w:r>
      <w:r w:rsidRPr="00E55891">
        <w:rPr>
          <w:rFonts w:ascii="Calibri" w:hAnsi="Calibri" w:cs="Calibri"/>
          <w:color w:val="000000" w:themeColor="text1"/>
          <w:vertAlign w:val="superscript"/>
          <w:lang w:val="en-GB"/>
        </w:rPr>
        <w:t>3</w:t>
      </w:r>
      <w:r w:rsidRPr="00E55891">
        <w:rPr>
          <w:rFonts w:ascii="Calibri" w:hAnsi="Calibri" w:cs="Calibri"/>
          <w:color w:val="000000" w:themeColor="text1"/>
          <w:lang w:val="en-GB"/>
        </w:rPr>
        <w:t xml:space="preserve"> </w:t>
      </w:r>
    </w:p>
    <w:p w14:paraId="6010C1B7" w14:textId="77777777" w:rsidR="00E55891" w:rsidRPr="00E55891" w:rsidRDefault="00E55891" w:rsidP="00E55891">
      <w:pPr>
        <w:spacing w:line="264" w:lineRule="auto"/>
        <w:jc w:val="center"/>
        <w:rPr>
          <w:rFonts w:ascii="Calibri" w:hAnsi="Calibri" w:cs="Calibri"/>
          <w:color w:val="000000" w:themeColor="text1"/>
          <w:lang w:val="en-GB"/>
        </w:rPr>
      </w:pPr>
    </w:p>
    <w:p w14:paraId="41D0C3C6" w14:textId="340DAB6F" w:rsidR="00E55891" w:rsidRPr="00B82C29" w:rsidRDefault="00E55891" w:rsidP="00E55891">
      <w:pPr>
        <w:spacing w:line="264" w:lineRule="auto"/>
        <w:jc w:val="center"/>
        <w:rPr>
          <w:rFonts w:ascii="Calibri" w:hAnsi="Calibri" w:cs="Calibri"/>
          <w:color w:val="000000" w:themeColor="text1"/>
          <w:sz w:val="22"/>
          <w:szCs w:val="22"/>
          <w:lang w:val="en-GB"/>
        </w:rPr>
      </w:pPr>
      <w:r w:rsidRPr="00B82C29">
        <w:rPr>
          <w:rFonts w:ascii="Calibri" w:hAnsi="Calibri" w:cs="Calibri"/>
          <w:color w:val="000000" w:themeColor="text1"/>
          <w:sz w:val="22"/>
          <w:szCs w:val="22"/>
          <w:vertAlign w:val="superscript"/>
          <w:lang w:val="en-GB"/>
        </w:rPr>
        <w:t>1</w:t>
      </w:r>
      <w:r w:rsidRPr="00B82C29">
        <w:rPr>
          <w:rFonts w:ascii="Calibri" w:hAnsi="Calibri" w:cs="Calibri"/>
          <w:color w:val="000000" w:themeColor="text1"/>
          <w:sz w:val="22"/>
          <w:szCs w:val="22"/>
          <w:lang w:val="en-GB"/>
        </w:rPr>
        <w:t xml:space="preserve">Computer-Aided Therapeutic Discovery and Design Platform, Federal University of Technology, Nigeria </w:t>
      </w:r>
      <w:r w:rsidRPr="00B82C29">
        <w:rPr>
          <w:rFonts w:ascii="Calibri" w:hAnsi="Calibri" w:cs="Calibri"/>
          <w:color w:val="000000" w:themeColor="text1"/>
          <w:sz w:val="22"/>
          <w:szCs w:val="22"/>
          <w:vertAlign w:val="superscript"/>
          <w:lang w:val="en-GB"/>
        </w:rPr>
        <w:t>2</w:t>
      </w:r>
      <w:r w:rsidRPr="00B82C29">
        <w:rPr>
          <w:rFonts w:ascii="Calibri" w:hAnsi="Calibri" w:cs="Calibri"/>
          <w:color w:val="000000" w:themeColor="text1"/>
          <w:sz w:val="22"/>
          <w:szCs w:val="22"/>
          <w:lang w:val="en-GB"/>
        </w:rPr>
        <w:t xml:space="preserve">Department of Neurosurgery, University of Houston, Texas, USA </w:t>
      </w:r>
      <w:r w:rsidRPr="00B82C29">
        <w:rPr>
          <w:rFonts w:ascii="Calibri" w:hAnsi="Calibri" w:cs="Calibri"/>
          <w:color w:val="000000" w:themeColor="text1"/>
          <w:sz w:val="22"/>
          <w:szCs w:val="22"/>
          <w:vertAlign w:val="superscript"/>
          <w:lang w:val="en-GB"/>
        </w:rPr>
        <w:t>3</w:t>
      </w:r>
      <w:r w:rsidRPr="00B82C29">
        <w:rPr>
          <w:rFonts w:ascii="Calibri" w:hAnsi="Calibri" w:cs="Calibri"/>
          <w:color w:val="000000" w:themeColor="text1"/>
          <w:sz w:val="22"/>
          <w:szCs w:val="22"/>
          <w:lang w:val="en-GB"/>
        </w:rPr>
        <w:t>Nutritional and Industrial Biochemistry Research Unit, Department of Biochemistry, College of Medicine, University of Ibadan, Ibadan, 200005 Nigeria</w:t>
      </w:r>
    </w:p>
    <w:p w14:paraId="57225CAB" w14:textId="00F364DD" w:rsidR="00E55891" w:rsidRPr="00B82C29" w:rsidRDefault="00E55891" w:rsidP="00E55891">
      <w:pPr>
        <w:spacing w:line="264" w:lineRule="auto"/>
        <w:jc w:val="center"/>
        <w:rPr>
          <w:rFonts w:ascii="Calibri" w:hAnsi="Calibri" w:cs="Calibri"/>
          <w:color w:val="000000" w:themeColor="text1"/>
          <w:sz w:val="22"/>
          <w:szCs w:val="22"/>
        </w:rPr>
      </w:pPr>
      <w:r w:rsidRPr="00B82C29">
        <w:rPr>
          <w:rFonts w:ascii="Calibri" w:hAnsi="Calibri" w:cs="Calibri"/>
          <w:color w:val="000000" w:themeColor="text1"/>
          <w:sz w:val="22"/>
          <w:szCs w:val="22"/>
        </w:rPr>
        <w:t>*e-mail: victomilola@gmail.com</w:t>
      </w:r>
    </w:p>
    <w:p w14:paraId="38C76088" w14:textId="120A6692" w:rsidR="00E55891" w:rsidRPr="003A7DD4" w:rsidRDefault="00E55891" w:rsidP="00E55891">
      <w:pPr>
        <w:spacing w:line="264" w:lineRule="auto"/>
        <w:jc w:val="both"/>
        <w:rPr>
          <w:rFonts w:ascii="Calibri" w:hAnsi="Calibri" w:cs="Calibri"/>
          <w:color w:val="000000" w:themeColor="text1"/>
        </w:rPr>
      </w:pPr>
    </w:p>
    <w:p w14:paraId="7021DDD1" w14:textId="77777777" w:rsidR="00E55891" w:rsidRPr="00E55891" w:rsidRDefault="00E55891" w:rsidP="00E55891">
      <w:pPr>
        <w:spacing w:line="264" w:lineRule="auto"/>
        <w:jc w:val="both"/>
        <w:rPr>
          <w:rFonts w:ascii="Calibri" w:hAnsi="Calibri" w:cs="Calibri"/>
          <w:color w:val="000000" w:themeColor="text1"/>
        </w:rPr>
      </w:pPr>
      <w:r w:rsidRPr="00E55891">
        <w:rPr>
          <w:rFonts w:ascii="Calibri" w:hAnsi="Calibri" w:cs="Calibri"/>
          <w:color w:val="000000" w:themeColor="text1"/>
        </w:rPr>
        <w:t>The emergence of antimalarial resistance in Plasmodium falciparum poses a critical global health challenge, necessitating the development of novel therapeutic approaches. This study employs an integrated approach combining structure-based drug design and machine learning to identify potential antimalarial agents from Buxus sempervirens. A total of 82 bioactive compounds were screened against essential parasitic proteins including Falcipain-2, Plasmepsin II, and Farnesyl Transferase, with their inhibitory activities predicted through machine learning models. Molecular docking analysis revealed Bebeerine as a potent inhibitor of Farnesyl Transferase, displaying a docking score of -9.5 and IC50 of 386.47 nM (pIC50 6.41). (+)-Buxaquamarine demonstrated strong binding to Plasmepsin II (docking score -5.6), while Buxenone showed significant inhibition (IC50 3425.74 nM, pIC50 5.47). Against Falcipain 2, (+)-Buxoxybenzamine exhibited promising inhibition (IC50 3579.35 nM, pIC50 5.45). ADMET profiling indicated favorable drug-like properties across all compounds, including high intestinal absorption (&gt;87%) and strong plasma protein binding, with Bebeerine and Isochondrodendrine specifically showing no hepatotoxicity. All compounds satisfied Lipinski's Rule of Five, supporting their potential as drug candidates. These findings highlight Bebeerine and (+)-Buxoxybenzamine as promising leads for antimalarial drug development, warranting further experimental validation against resistant P. falciparum strains.</w:t>
      </w:r>
    </w:p>
    <w:p w14:paraId="5E47991A" w14:textId="77777777" w:rsidR="00E55891" w:rsidRPr="00E55891" w:rsidRDefault="00E55891" w:rsidP="00E55891">
      <w:pPr>
        <w:spacing w:line="264" w:lineRule="auto"/>
        <w:jc w:val="both"/>
        <w:rPr>
          <w:rFonts w:ascii="Calibri" w:hAnsi="Calibri" w:cs="Calibri"/>
          <w:color w:val="000000" w:themeColor="text1"/>
        </w:rPr>
      </w:pPr>
    </w:p>
    <w:p w14:paraId="6A3A9FF3" w14:textId="77777777" w:rsidR="00E55891" w:rsidRPr="00B82C29" w:rsidRDefault="00E55891" w:rsidP="00E55891">
      <w:pPr>
        <w:spacing w:line="264" w:lineRule="auto"/>
        <w:jc w:val="both"/>
        <w:rPr>
          <w:rFonts w:ascii="Calibri" w:hAnsi="Calibri" w:cs="Calibri"/>
          <w:color w:val="000000" w:themeColor="text1"/>
          <w:sz w:val="22"/>
          <w:szCs w:val="22"/>
        </w:rPr>
      </w:pPr>
      <w:r w:rsidRPr="00B82C29">
        <w:rPr>
          <w:rFonts w:ascii="Calibri" w:hAnsi="Calibri" w:cs="Calibri"/>
          <w:b/>
          <w:bCs/>
          <w:color w:val="000000" w:themeColor="text1"/>
          <w:sz w:val="22"/>
          <w:szCs w:val="22"/>
        </w:rPr>
        <w:t>References</w:t>
      </w:r>
      <w:r w:rsidRPr="00B82C29">
        <w:rPr>
          <w:rFonts w:ascii="Calibri" w:hAnsi="Calibri" w:cs="Calibri"/>
          <w:color w:val="000000" w:themeColor="text1"/>
          <w:sz w:val="22"/>
          <w:szCs w:val="22"/>
        </w:rPr>
        <w:t xml:space="preserve"> </w:t>
      </w:r>
    </w:p>
    <w:p w14:paraId="7BC97626" w14:textId="41DD84C0" w:rsidR="00E55891" w:rsidRPr="00B82C29" w:rsidRDefault="00E55891" w:rsidP="00E55891">
      <w:pPr>
        <w:spacing w:line="264" w:lineRule="auto"/>
        <w:jc w:val="both"/>
        <w:rPr>
          <w:rFonts w:ascii="Calibri" w:hAnsi="Calibri" w:cs="Calibri"/>
          <w:color w:val="000000" w:themeColor="text1"/>
          <w:sz w:val="22"/>
          <w:szCs w:val="22"/>
        </w:rPr>
      </w:pPr>
      <w:r w:rsidRPr="00B82C29">
        <w:rPr>
          <w:rFonts w:ascii="Calibri" w:hAnsi="Calibri" w:cs="Calibri"/>
          <w:color w:val="000000" w:themeColor="text1"/>
          <w:sz w:val="22"/>
          <w:szCs w:val="22"/>
        </w:rPr>
        <w:lastRenderedPageBreak/>
        <w:t>Abugri J, Ayariga J, Sunwiale SS, Wezena CA, Gyamfi JA, Adu-Frimpong M, Agongo G, Dongdem JT, Abugri D, Dinko B. Targeting the Plasmodium falciparum proteome and organelles for potential antimalarial drug candidates. Heliyon. 2022 Aug;8(8):e10390. doi: 10.1016/j.heliyon.2022.e10390. Epub 2022 Aug 24. PMID: 36033316; PMCID: PMC9398786.</w:t>
      </w:r>
    </w:p>
    <w:p w14:paraId="5CBBD380" w14:textId="2DEB95C5" w:rsidR="00E55891" w:rsidRPr="00B82C29" w:rsidRDefault="00E55891" w:rsidP="00E55891">
      <w:pPr>
        <w:spacing w:line="264" w:lineRule="auto"/>
        <w:jc w:val="both"/>
        <w:rPr>
          <w:rFonts w:ascii="Calibri" w:hAnsi="Calibri" w:cs="Calibri"/>
          <w:color w:val="000000" w:themeColor="text1"/>
          <w:sz w:val="22"/>
          <w:szCs w:val="22"/>
        </w:rPr>
      </w:pPr>
      <w:r w:rsidRPr="00B82C29">
        <w:rPr>
          <w:rFonts w:ascii="Calibri" w:hAnsi="Calibri" w:cs="Calibri"/>
          <w:color w:val="000000" w:themeColor="text1"/>
          <w:sz w:val="22"/>
          <w:szCs w:val="22"/>
        </w:rPr>
        <w:t>Roy, K.K., 2017. Targeting the active sites of malarial proteases for antimalarial drug discovery: approaches, progress and challenges. Int. J. Antimicrob. Agents 50 (3), 287–302.</w:t>
      </w:r>
    </w:p>
    <w:p w14:paraId="18C4B7CC" w14:textId="77777777" w:rsidR="00E55891" w:rsidRPr="00B82C29" w:rsidRDefault="00E55891" w:rsidP="00E55891">
      <w:pPr>
        <w:spacing w:line="264" w:lineRule="auto"/>
        <w:jc w:val="both"/>
        <w:rPr>
          <w:rFonts w:ascii="Calibri" w:hAnsi="Calibri" w:cs="Calibri"/>
          <w:color w:val="000000" w:themeColor="text1"/>
          <w:sz w:val="22"/>
          <w:szCs w:val="22"/>
        </w:rPr>
      </w:pPr>
    </w:p>
    <w:p w14:paraId="7FE4561A" w14:textId="77777777" w:rsidR="00E55891" w:rsidRPr="00B82C29" w:rsidRDefault="00E55891" w:rsidP="00E55891">
      <w:pPr>
        <w:spacing w:line="264" w:lineRule="auto"/>
        <w:jc w:val="both"/>
        <w:rPr>
          <w:rFonts w:ascii="Calibri" w:hAnsi="Calibri" w:cs="Calibri"/>
          <w:b/>
          <w:bCs/>
          <w:color w:val="000000" w:themeColor="text1"/>
          <w:sz w:val="22"/>
          <w:szCs w:val="22"/>
        </w:rPr>
      </w:pPr>
      <w:r w:rsidRPr="00B82C29">
        <w:rPr>
          <w:rFonts w:ascii="Calibri" w:hAnsi="Calibri" w:cs="Calibri"/>
          <w:b/>
          <w:bCs/>
          <w:color w:val="000000" w:themeColor="text1"/>
          <w:sz w:val="22"/>
          <w:szCs w:val="22"/>
        </w:rPr>
        <w:t xml:space="preserve">Acknowledgment </w:t>
      </w:r>
    </w:p>
    <w:p w14:paraId="20D42965" w14:textId="7948FB79" w:rsidR="00E55891" w:rsidRPr="00B82C29" w:rsidRDefault="00E55891" w:rsidP="00E55891">
      <w:pPr>
        <w:spacing w:line="264" w:lineRule="auto"/>
        <w:jc w:val="both"/>
        <w:rPr>
          <w:rFonts w:ascii="Calibri" w:hAnsi="Calibri" w:cs="Calibri"/>
          <w:color w:val="000000" w:themeColor="text1"/>
          <w:sz w:val="22"/>
          <w:szCs w:val="22"/>
        </w:rPr>
      </w:pPr>
      <w:r w:rsidRPr="00B82C29">
        <w:rPr>
          <w:rFonts w:ascii="Calibri" w:hAnsi="Calibri" w:cs="Calibri"/>
          <w:color w:val="000000" w:themeColor="text1"/>
          <w:sz w:val="22"/>
          <w:szCs w:val="22"/>
        </w:rPr>
        <w:t>No funding</w:t>
      </w:r>
    </w:p>
    <w:p w14:paraId="1F0F307E" w14:textId="24C40540" w:rsidR="00E55891" w:rsidRPr="00B82C29" w:rsidRDefault="00E55891">
      <w:pPr>
        <w:rPr>
          <w:rFonts w:ascii="Calibri" w:hAnsi="Calibri" w:cs="Calibri"/>
          <w:color w:val="000000" w:themeColor="text1"/>
          <w:sz w:val="22"/>
          <w:szCs w:val="22"/>
        </w:rPr>
      </w:pPr>
      <w:r w:rsidRPr="00B82C29">
        <w:rPr>
          <w:rFonts w:ascii="Calibri" w:hAnsi="Calibri" w:cs="Calibri"/>
          <w:color w:val="000000" w:themeColor="text1"/>
          <w:sz w:val="22"/>
          <w:szCs w:val="22"/>
        </w:rPr>
        <w:br w:type="page"/>
      </w:r>
    </w:p>
    <w:p w14:paraId="0F0A39ED" w14:textId="77777777" w:rsidR="00E55891" w:rsidRPr="003A7DD4" w:rsidRDefault="00E55891" w:rsidP="00E55891">
      <w:pPr>
        <w:spacing w:line="264" w:lineRule="auto"/>
        <w:jc w:val="both"/>
        <w:rPr>
          <w:rFonts w:ascii="Calibri" w:hAnsi="Calibri" w:cs="Calibri"/>
          <w:color w:val="000000" w:themeColor="text1"/>
        </w:rPr>
      </w:pPr>
    </w:p>
    <w:p w14:paraId="42FA1903" w14:textId="70D1971C" w:rsidR="00E55891" w:rsidRDefault="00E55891" w:rsidP="00E55891">
      <w:pPr>
        <w:spacing w:line="264" w:lineRule="auto"/>
        <w:jc w:val="center"/>
        <w:rPr>
          <w:rFonts w:ascii="Calibri" w:hAnsi="Calibri" w:cs="Calibri"/>
          <w:b/>
          <w:bCs/>
          <w:color w:val="2E74B5" w:themeColor="accent5" w:themeShade="BF"/>
          <w:lang w:val="en-GB"/>
        </w:rPr>
      </w:pPr>
      <w:r w:rsidRPr="00E55891">
        <w:rPr>
          <w:rFonts w:ascii="Calibri" w:hAnsi="Calibri" w:cs="Calibri"/>
          <w:b/>
          <w:bCs/>
          <w:color w:val="2E74B5" w:themeColor="accent5" w:themeShade="BF"/>
          <w:lang w:val="en-GB"/>
        </w:rPr>
        <w:t>TOWARDS KNOWING YOUR TARGET IN LEISHMANIA: ESTABLISHMENT OF VALIDATED IN SITU ASSAYS FOR ANTILEISHMANIAL DRUG DISCOVERY</w:t>
      </w:r>
    </w:p>
    <w:p w14:paraId="4F3F6D5D" w14:textId="77777777" w:rsidR="00E55891" w:rsidRPr="00E55891" w:rsidRDefault="00E55891" w:rsidP="00E55891">
      <w:pPr>
        <w:spacing w:line="264" w:lineRule="auto"/>
        <w:jc w:val="center"/>
        <w:rPr>
          <w:rFonts w:ascii="Calibri" w:hAnsi="Calibri" w:cs="Calibri"/>
          <w:color w:val="000000" w:themeColor="text1"/>
        </w:rPr>
      </w:pPr>
    </w:p>
    <w:p w14:paraId="1B4141FB" w14:textId="04A9C2D5" w:rsidR="00E55891" w:rsidRPr="00E55891" w:rsidRDefault="00E55891" w:rsidP="00E55891">
      <w:pPr>
        <w:spacing w:line="264" w:lineRule="auto"/>
        <w:jc w:val="center"/>
        <w:rPr>
          <w:rFonts w:ascii="Calibri" w:hAnsi="Calibri" w:cs="Calibri"/>
          <w:color w:val="000000" w:themeColor="text1"/>
          <w:lang w:val="en-GB"/>
        </w:rPr>
      </w:pPr>
      <w:r w:rsidRPr="00E55891">
        <w:rPr>
          <w:rFonts w:ascii="Calibri" w:hAnsi="Calibri" w:cs="Calibri"/>
          <w:color w:val="000000" w:themeColor="text1"/>
          <w:u w:val="single"/>
          <w:lang w:val="en-GB"/>
        </w:rPr>
        <w:t>Ahmad R</w:t>
      </w:r>
      <w:r w:rsidRPr="00E55891">
        <w:rPr>
          <w:rFonts w:ascii="Calibri" w:hAnsi="Calibri" w:cs="Calibri"/>
          <w:color w:val="000000" w:themeColor="text1"/>
          <w:lang w:val="en-GB"/>
        </w:rPr>
        <w:t>.,</w:t>
      </w:r>
      <w:r w:rsidRPr="00E55891">
        <w:rPr>
          <w:rFonts w:ascii="Calibri" w:hAnsi="Calibri" w:cs="Calibri"/>
          <w:color w:val="000000" w:themeColor="text1"/>
          <w:vertAlign w:val="superscript"/>
          <w:lang w:val="en-GB"/>
        </w:rPr>
        <w:t>a</w:t>
      </w:r>
      <w:r w:rsidRPr="00E55891">
        <w:rPr>
          <w:rFonts w:ascii="Calibri" w:hAnsi="Calibri" w:cs="Calibri"/>
          <w:color w:val="000000" w:themeColor="text1"/>
          <w:lang w:val="en-GB"/>
        </w:rPr>
        <w:t xml:space="preserve"> Van den Kerkhof M.,</w:t>
      </w:r>
      <w:r w:rsidRPr="00E55891">
        <w:rPr>
          <w:rFonts w:ascii="Calibri" w:hAnsi="Calibri" w:cs="Calibri"/>
          <w:color w:val="000000" w:themeColor="text1"/>
          <w:vertAlign w:val="superscript"/>
          <w:lang w:val="en-GB"/>
        </w:rPr>
        <w:t>a</w:t>
      </w:r>
      <w:r w:rsidRPr="00E55891">
        <w:rPr>
          <w:rFonts w:ascii="Calibri" w:hAnsi="Calibri" w:cs="Calibri"/>
          <w:color w:val="000000" w:themeColor="text1"/>
          <w:lang w:val="en-GB"/>
        </w:rPr>
        <w:t>, Leprohon P.,</w:t>
      </w:r>
      <w:r w:rsidRPr="00E55891">
        <w:rPr>
          <w:rFonts w:ascii="Calibri" w:hAnsi="Calibri" w:cs="Calibri"/>
          <w:color w:val="000000" w:themeColor="text1"/>
          <w:vertAlign w:val="superscript"/>
          <w:lang w:val="en-GB"/>
        </w:rPr>
        <w:t>b</w:t>
      </w:r>
      <w:r w:rsidRPr="00E55891">
        <w:rPr>
          <w:rFonts w:ascii="Calibri" w:hAnsi="Calibri" w:cs="Calibri"/>
          <w:color w:val="000000" w:themeColor="text1"/>
          <w:lang w:val="en-GB"/>
        </w:rPr>
        <w:t xml:space="preserve"> Braillard S.,</w:t>
      </w:r>
      <w:r w:rsidRPr="00E55891">
        <w:rPr>
          <w:rFonts w:ascii="Calibri" w:hAnsi="Calibri" w:cs="Calibri"/>
          <w:color w:val="000000" w:themeColor="text1"/>
          <w:vertAlign w:val="superscript"/>
          <w:lang w:val="en-GB"/>
        </w:rPr>
        <w:t>b</w:t>
      </w:r>
      <w:r w:rsidRPr="00E55891">
        <w:rPr>
          <w:rFonts w:ascii="Calibri" w:hAnsi="Calibri" w:cs="Calibri"/>
          <w:color w:val="000000" w:themeColor="text1"/>
          <w:lang w:val="en-GB"/>
        </w:rPr>
        <w:t>, Van Acker S.,</w:t>
      </w:r>
      <w:r w:rsidRPr="00E55891">
        <w:rPr>
          <w:rFonts w:ascii="Calibri" w:hAnsi="Calibri" w:cs="Calibri"/>
          <w:color w:val="000000" w:themeColor="text1"/>
          <w:vertAlign w:val="superscript"/>
          <w:lang w:val="en-GB"/>
        </w:rPr>
        <w:t>a</w:t>
      </w:r>
      <w:r w:rsidRPr="00E55891">
        <w:rPr>
          <w:rFonts w:ascii="Calibri" w:hAnsi="Calibri" w:cs="Calibri"/>
          <w:color w:val="000000" w:themeColor="text1"/>
          <w:lang w:val="en-GB"/>
        </w:rPr>
        <w:t xml:space="preserve"> Hendrickx S.,</w:t>
      </w:r>
      <w:r w:rsidRPr="00E55891">
        <w:rPr>
          <w:rFonts w:ascii="Calibri" w:hAnsi="Calibri" w:cs="Calibri"/>
          <w:color w:val="000000" w:themeColor="text1"/>
          <w:vertAlign w:val="superscript"/>
          <w:lang w:val="en-GB"/>
        </w:rPr>
        <w:t>a</w:t>
      </w:r>
      <w:r w:rsidRPr="00E55891">
        <w:rPr>
          <w:rFonts w:ascii="Calibri" w:hAnsi="Calibri" w:cs="Calibri"/>
          <w:color w:val="000000" w:themeColor="text1"/>
          <w:lang w:val="en-GB"/>
        </w:rPr>
        <w:t>Pintelon I.,</w:t>
      </w:r>
      <w:r w:rsidRPr="00E55891">
        <w:rPr>
          <w:rFonts w:ascii="Calibri" w:hAnsi="Calibri" w:cs="Calibri"/>
          <w:color w:val="000000" w:themeColor="text1"/>
          <w:vertAlign w:val="superscript"/>
          <w:lang w:val="en-GB"/>
        </w:rPr>
        <w:t xml:space="preserve">a </w:t>
      </w:r>
      <w:r w:rsidRPr="00E55891">
        <w:rPr>
          <w:rFonts w:ascii="Calibri" w:hAnsi="Calibri" w:cs="Calibri"/>
          <w:color w:val="000000" w:themeColor="text1"/>
          <w:lang w:val="en-GB"/>
        </w:rPr>
        <w:t>De Vos W.,</w:t>
      </w:r>
      <w:r w:rsidRPr="00E55891">
        <w:rPr>
          <w:rFonts w:ascii="Calibri" w:hAnsi="Calibri" w:cs="Calibri"/>
          <w:color w:val="000000" w:themeColor="text1"/>
          <w:vertAlign w:val="superscript"/>
          <w:lang w:val="en-GB"/>
        </w:rPr>
        <w:t>a</w:t>
      </w:r>
      <w:r w:rsidRPr="00E55891">
        <w:rPr>
          <w:rFonts w:ascii="Calibri" w:hAnsi="Calibri" w:cs="Calibri"/>
          <w:color w:val="000000" w:themeColor="text1"/>
          <w:lang w:val="en-GB"/>
        </w:rPr>
        <w:t>, Chatelain E., Mowbray C., cMaes L.,aOuellette M.,b Caljon G.</w:t>
      </w:r>
      <w:r w:rsidRPr="00E55891">
        <w:rPr>
          <w:rFonts w:ascii="Calibri" w:hAnsi="Calibri" w:cs="Calibri"/>
          <w:color w:val="000000" w:themeColor="text1"/>
          <w:vertAlign w:val="superscript"/>
          <w:lang w:val="en-GB"/>
        </w:rPr>
        <w:t>a</w:t>
      </w:r>
      <w:r w:rsidRPr="00E55891">
        <w:rPr>
          <w:rFonts w:ascii="Calibri" w:hAnsi="Calibri" w:cs="Calibri"/>
          <w:color w:val="000000" w:themeColor="text1"/>
          <w:lang w:val="en-GB"/>
        </w:rPr>
        <w:t>*</w:t>
      </w:r>
    </w:p>
    <w:p w14:paraId="318CFA19" w14:textId="77777777" w:rsidR="00E55891" w:rsidRPr="00B82C29" w:rsidRDefault="00E55891" w:rsidP="00E55891">
      <w:pPr>
        <w:spacing w:line="264" w:lineRule="auto"/>
        <w:jc w:val="center"/>
        <w:rPr>
          <w:rFonts w:ascii="Calibri" w:hAnsi="Calibri" w:cs="Calibri"/>
          <w:color w:val="000000" w:themeColor="text1"/>
          <w:sz w:val="22"/>
          <w:szCs w:val="22"/>
          <w:lang w:val="en-GB"/>
        </w:rPr>
      </w:pPr>
      <w:r w:rsidRPr="00B82C29">
        <w:rPr>
          <w:rFonts w:ascii="Calibri" w:hAnsi="Calibri" w:cs="Calibri"/>
          <w:color w:val="000000" w:themeColor="text1"/>
          <w:sz w:val="22"/>
          <w:szCs w:val="22"/>
          <w:vertAlign w:val="superscript"/>
          <w:lang w:val="en-GB"/>
        </w:rPr>
        <w:t>a</w:t>
      </w:r>
      <w:r w:rsidRPr="00B82C29">
        <w:rPr>
          <w:rFonts w:ascii="Calibri" w:hAnsi="Calibri" w:cs="Calibri"/>
          <w:color w:val="000000" w:themeColor="text1"/>
          <w:sz w:val="22"/>
          <w:szCs w:val="22"/>
          <w:lang w:val="en-GB"/>
        </w:rPr>
        <w:t>University of Antwerp, Antwerp, Belgium.</w:t>
      </w:r>
    </w:p>
    <w:p w14:paraId="0863689A" w14:textId="77777777" w:rsidR="00E55891" w:rsidRPr="00B82C29" w:rsidRDefault="00E55891" w:rsidP="00E55891">
      <w:pPr>
        <w:spacing w:line="264" w:lineRule="auto"/>
        <w:jc w:val="center"/>
        <w:rPr>
          <w:rFonts w:ascii="Calibri" w:hAnsi="Calibri" w:cs="Calibri"/>
          <w:color w:val="000000" w:themeColor="text1"/>
          <w:sz w:val="22"/>
          <w:szCs w:val="22"/>
          <w:lang w:val="pt-PT"/>
        </w:rPr>
      </w:pPr>
      <w:r w:rsidRPr="00B82C29">
        <w:rPr>
          <w:rFonts w:ascii="Calibri" w:hAnsi="Calibri" w:cs="Calibri"/>
          <w:color w:val="000000" w:themeColor="text1"/>
          <w:sz w:val="22"/>
          <w:szCs w:val="22"/>
          <w:vertAlign w:val="superscript"/>
          <w:lang w:val="pt-PT"/>
        </w:rPr>
        <w:t>b</w:t>
      </w:r>
      <w:r w:rsidRPr="00B82C29">
        <w:rPr>
          <w:rFonts w:ascii="Calibri" w:hAnsi="Calibri" w:cs="Calibri"/>
          <w:color w:val="000000" w:themeColor="text1"/>
          <w:sz w:val="22"/>
          <w:szCs w:val="22"/>
          <w:lang w:val="pt-PT"/>
        </w:rPr>
        <w:t>Université Laval, Québec, Québec, Canada.</w:t>
      </w:r>
    </w:p>
    <w:p w14:paraId="68B0956A" w14:textId="77777777" w:rsidR="00E55891" w:rsidRPr="00B82C29" w:rsidRDefault="00E55891" w:rsidP="00E55891">
      <w:pPr>
        <w:spacing w:line="264" w:lineRule="auto"/>
        <w:jc w:val="center"/>
        <w:rPr>
          <w:rFonts w:ascii="Calibri" w:hAnsi="Calibri" w:cs="Calibri"/>
          <w:color w:val="000000" w:themeColor="text1"/>
          <w:sz w:val="22"/>
          <w:szCs w:val="22"/>
          <w:lang w:val="en-GB"/>
        </w:rPr>
      </w:pPr>
      <w:r w:rsidRPr="00B82C29">
        <w:rPr>
          <w:rFonts w:ascii="Calibri" w:hAnsi="Calibri" w:cs="Calibri"/>
          <w:color w:val="000000" w:themeColor="text1"/>
          <w:sz w:val="22"/>
          <w:szCs w:val="22"/>
          <w:vertAlign w:val="superscript"/>
          <w:lang w:val="en-GB"/>
        </w:rPr>
        <w:t>c</w:t>
      </w:r>
      <w:r w:rsidRPr="00B82C29">
        <w:rPr>
          <w:rFonts w:ascii="Calibri" w:hAnsi="Calibri" w:cs="Calibri"/>
          <w:color w:val="000000" w:themeColor="text1"/>
          <w:sz w:val="22"/>
          <w:szCs w:val="22"/>
          <w:lang w:val="en-GB"/>
        </w:rPr>
        <w:t>Drugs for Neglected Diseases initiative (DNDi), Geneva, Switzerland.</w:t>
      </w:r>
    </w:p>
    <w:p w14:paraId="5960E98F" w14:textId="77777777" w:rsidR="00E55891" w:rsidRPr="00B82C29" w:rsidRDefault="00E55891" w:rsidP="00E55891">
      <w:pPr>
        <w:spacing w:line="264" w:lineRule="auto"/>
        <w:jc w:val="center"/>
        <w:rPr>
          <w:rFonts w:ascii="Calibri" w:hAnsi="Calibri" w:cs="Calibri"/>
          <w:color w:val="000000" w:themeColor="text1"/>
          <w:sz w:val="22"/>
          <w:szCs w:val="22"/>
          <w:lang w:val="en-GB"/>
        </w:rPr>
      </w:pPr>
      <w:r w:rsidRPr="00B82C29">
        <w:rPr>
          <w:rFonts w:ascii="Calibri" w:hAnsi="Calibri" w:cs="Calibri"/>
          <w:color w:val="000000" w:themeColor="text1"/>
          <w:sz w:val="22"/>
          <w:szCs w:val="22"/>
          <w:lang w:val="en-GB"/>
        </w:rPr>
        <w:t>Rokaya.Ahmad@uantwerpen.be  (presenting author)* Guy.Caljon@uantwerpen.be</w:t>
      </w:r>
    </w:p>
    <w:p w14:paraId="2C2FD142" w14:textId="77777777" w:rsidR="00E55891" w:rsidRDefault="00E55891" w:rsidP="00E55891">
      <w:pPr>
        <w:spacing w:line="264" w:lineRule="auto"/>
        <w:jc w:val="center"/>
        <w:rPr>
          <w:rFonts w:ascii="Calibri" w:hAnsi="Calibri" w:cs="Calibri"/>
          <w:color w:val="000000" w:themeColor="text1"/>
          <w:lang w:val="en-GB"/>
        </w:rPr>
      </w:pPr>
    </w:p>
    <w:p w14:paraId="684653D1" w14:textId="77777777" w:rsidR="00E55891" w:rsidRPr="00B82C29" w:rsidRDefault="00E55891" w:rsidP="00E55891">
      <w:pPr>
        <w:jc w:val="both"/>
        <w:rPr>
          <w:rFonts w:asciiTheme="minorHAnsi" w:hAnsiTheme="minorHAnsi" w:cstheme="minorHAnsi"/>
        </w:rPr>
      </w:pPr>
      <w:r w:rsidRPr="00B82C29">
        <w:rPr>
          <w:rFonts w:asciiTheme="minorHAnsi" w:hAnsiTheme="minorHAnsi" w:cstheme="minorHAnsi"/>
        </w:rPr>
        <w:t xml:space="preserve">Antileishmanial drug discovery has witnessed significant progress over the last two decades empowered by advanced functional genomic technologies. However, the high attrition rate of compounds in clinical development emphasizes the need to explore new target-validated antileishmanial leads. To meet the “ Know your Target” principle of drug discovery, we engineered </w:t>
      </w:r>
      <w:r w:rsidRPr="00B82C29">
        <w:rPr>
          <w:rFonts w:asciiTheme="minorHAnsi" w:hAnsiTheme="minorHAnsi" w:cstheme="minorHAnsi"/>
          <w:i/>
          <w:iCs/>
        </w:rPr>
        <w:t>Leishmania</w:t>
      </w:r>
      <w:r w:rsidRPr="00B82C29">
        <w:rPr>
          <w:rFonts w:asciiTheme="minorHAnsi" w:hAnsiTheme="minorHAnsi" w:cstheme="minorHAnsi"/>
        </w:rPr>
        <w:t xml:space="preserve"> lines to investigate the mode-of-action and activity of new antileishmanial compounds. In </w:t>
      </w:r>
      <w:r w:rsidRPr="00B82C29">
        <w:rPr>
          <w:rFonts w:asciiTheme="minorHAnsi" w:hAnsiTheme="minorHAnsi" w:cstheme="minorHAnsi"/>
          <w:i/>
          <w:iCs/>
        </w:rPr>
        <w:t>Leishmania</w:t>
      </w:r>
      <w:r w:rsidRPr="00B82C29">
        <w:rPr>
          <w:rFonts w:asciiTheme="minorHAnsi" w:hAnsiTheme="minorHAnsi" w:cstheme="minorHAnsi"/>
        </w:rPr>
        <w:t>, like any eukaryotic cell, spatiotemporal molecule trafficking between subcellular organelles is maintained by endosomes, while active shuffling of molecules between the cytoplasm and nucleus relies on dynamic nucleocytoplasmic transport.  </w:t>
      </w:r>
    </w:p>
    <w:p w14:paraId="6D0A6977" w14:textId="77777777" w:rsidR="00E55891" w:rsidRPr="00B82C29" w:rsidRDefault="00E55891" w:rsidP="00E55891">
      <w:pPr>
        <w:jc w:val="both"/>
        <w:rPr>
          <w:rFonts w:asciiTheme="minorHAnsi" w:hAnsiTheme="minorHAnsi" w:cstheme="minorHAnsi"/>
        </w:rPr>
      </w:pPr>
      <w:r w:rsidRPr="00B82C29">
        <w:rPr>
          <w:rFonts w:asciiTheme="minorHAnsi" w:hAnsiTheme="minorHAnsi" w:cstheme="minorHAnsi"/>
        </w:rPr>
        <w:t xml:space="preserve">First, by elaborate mode-of-action studies of antileishmanial aminopyrazoles, we discovered that disrupting the assembly of endosomes is an exploitable and druggable pathway. MUT-SEQ and CRISPR-Cas9 gene editing has independently confirmed an association between 10-30-fold aminopyrazole resistance and multiple independent heterozygous mutations in the FYVE containing protein LINF_180011100. Next, genetic fusion with an N-terminal green fluorescent protein (GFP) tag demonstrated that the protein primarily localizes in cytoplasmic/endocytic vesicles and an impact of treatment with aminopyrazoles. Proteomic analysis of co-immunoprecipitates with the GFP tagged LINF_180011100, confirmed the interaction with recycling endosomes that are associated with the ribosomal translation machinery and mitochondria. </w:t>
      </w:r>
    </w:p>
    <w:p w14:paraId="437CF3B0" w14:textId="77777777" w:rsidR="00E55891" w:rsidRPr="00B82C29" w:rsidRDefault="00E55891" w:rsidP="00E55891">
      <w:pPr>
        <w:jc w:val="both"/>
        <w:rPr>
          <w:rFonts w:asciiTheme="minorHAnsi" w:hAnsiTheme="minorHAnsi" w:cstheme="minorHAnsi"/>
        </w:rPr>
      </w:pPr>
      <w:r w:rsidRPr="00B82C29">
        <w:rPr>
          <w:rFonts w:asciiTheme="minorHAnsi" w:hAnsiTheme="minorHAnsi" w:cstheme="minorHAnsi"/>
        </w:rPr>
        <w:t xml:space="preserve">Our second initiative was to visualize and target the Nuclear Protein Import (NPI). NPI relies on interactions between cargo molecules carrying a nuclear localization signal (NLS) and their specific transport receptors, regulated in turn by a Ran GTPase cycle. Using genetic engineering, a pLEXSY vector encoding the mCherry fluorescent protein with a C-terminal NLS, was introduced into the </w:t>
      </w:r>
      <w:r w:rsidRPr="00B82C29">
        <w:rPr>
          <w:rFonts w:asciiTheme="minorHAnsi" w:hAnsiTheme="minorHAnsi" w:cstheme="minorHAnsi"/>
          <w:i/>
          <w:iCs/>
        </w:rPr>
        <w:t>L. infantum</w:t>
      </w:r>
      <w:r w:rsidRPr="00B82C29">
        <w:rPr>
          <w:rFonts w:asciiTheme="minorHAnsi" w:hAnsiTheme="minorHAnsi" w:cstheme="minorHAnsi"/>
        </w:rPr>
        <w:t xml:space="preserve"> genome. Confocal </w:t>
      </w:r>
      <w:r w:rsidRPr="00B82C29">
        <w:rPr>
          <w:rFonts w:asciiTheme="minorHAnsi" w:hAnsiTheme="minorHAnsi" w:cstheme="minorHAnsi"/>
        </w:rPr>
        <w:lastRenderedPageBreak/>
        <w:t>fluorescence microscopy demonstrated parasites with a nuclear localisation of mCherry.  As a specific inhibitor of importin-β, importazole exhibited the anticipated dose-dependent inhibition of NPI as well as a broad antiprotozoal activity. Next, assay specificity was demonstrated by evaluating the effect of lead compounds of the Drugs for Neglected Diseases initiative with different modes-of-action, revealing cell death without NPI impairment.</w:t>
      </w:r>
    </w:p>
    <w:p w14:paraId="2B9D91B6" w14:textId="77777777" w:rsidR="00E55891" w:rsidRPr="00B82C29" w:rsidRDefault="00E55891" w:rsidP="00E55891">
      <w:pPr>
        <w:jc w:val="both"/>
        <w:rPr>
          <w:rFonts w:asciiTheme="minorHAnsi" w:hAnsiTheme="minorHAnsi" w:cstheme="minorHAnsi"/>
        </w:rPr>
      </w:pPr>
      <w:r w:rsidRPr="00B82C29">
        <w:rPr>
          <w:rFonts w:asciiTheme="minorHAnsi" w:hAnsiTheme="minorHAnsi" w:cstheme="minorHAnsi"/>
        </w:rPr>
        <w:t xml:space="preserve">Collectively, our transgenic </w:t>
      </w:r>
      <w:r w:rsidRPr="00B82C29">
        <w:rPr>
          <w:rFonts w:asciiTheme="minorHAnsi" w:hAnsiTheme="minorHAnsi" w:cstheme="minorHAnsi"/>
          <w:i/>
          <w:iCs/>
        </w:rPr>
        <w:t>Leishmania</w:t>
      </w:r>
      <w:r w:rsidRPr="00B82C29">
        <w:rPr>
          <w:rFonts w:asciiTheme="minorHAnsi" w:hAnsiTheme="minorHAnsi" w:cstheme="minorHAnsi"/>
        </w:rPr>
        <w:t xml:space="preserve"> lines can provide an </w:t>
      </w:r>
      <w:r w:rsidRPr="00B82C29">
        <w:rPr>
          <w:rFonts w:asciiTheme="minorHAnsi" w:hAnsiTheme="minorHAnsi" w:cstheme="minorHAnsi"/>
          <w:i/>
          <w:iCs/>
        </w:rPr>
        <w:t>in situ</w:t>
      </w:r>
      <w:r w:rsidRPr="00B82C29">
        <w:rPr>
          <w:rFonts w:asciiTheme="minorHAnsi" w:hAnsiTheme="minorHAnsi" w:cstheme="minorHAnsi"/>
        </w:rPr>
        <w:t xml:space="preserve"> read-out of endosomal assembly or nuclear protein transport. In addition to offering opportunities for mechanistically informed drug discovery, this also provides an innovative research tool for understanding the </w:t>
      </w:r>
      <w:r w:rsidRPr="00B82C29">
        <w:rPr>
          <w:rFonts w:asciiTheme="minorHAnsi" w:hAnsiTheme="minorHAnsi" w:cstheme="minorHAnsi"/>
          <w:i/>
          <w:iCs/>
        </w:rPr>
        <w:t xml:space="preserve">Leishmania </w:t>
      </w:r>
      <w:r w:rsidRPr="00B82C29">
        <w:rPr>
          <w:rFonts w:asciiTheme="minorHAnsi" w:hAnsiTheme="minorHAnsi" w:cstheme="minorHAnsi"/>
        </w:rPr>
        <w:t>cell biology.</w:t>
      </w:r>
    </w:p>
    <w:p w14:paraId="56EBC6BC" w14:textId="65003554" w:rsidR="00E55891" w:rsidRPr="00B82C29" w:rsidRDefault="00E55891">
      <w:pPr>
        <w:rPr>
          <w:rFonts w:asciiTheme="minorHAnsi" w:hAnsiTheme="minorHAnsi" w:cstheme="minorHAnsi"/>
        </w:rPr>
      </w:pPr>
      <w:r w:rsidRPr="00B82C29">
        <w:rPr>
          <w:rFonts w:asciiTheme="minorHAnsi" w:hAnsiTheme="minorHAnsi" w:cstheme="minorHAnsi"/>
        </w:rPr>
        <w:br w:type="page"/>
      </w:r>
    </w:p>
    <w:p w14:paraId="2150C730" w14:textId="77777777" w:rsidR="00685EA5" w:rsidRPr="003A7DD4" w:rsidRDefault="00685EA5" w:rsidP="00685EA5">
      <w:pPr>
        <w:spacing w:line="264" w:lineRule="auto"/>
        <w:jc w:val="both"/>
        <w:rPr>
          <w:rFonts w:ascii="Calibri" w:hAnsi="Calibri" w:cs="Calibri"/>
          <w:color w:val="000000" w:themeColor="text1"/>
        </w:rPr>
      </w:pPr>
    </w:p>
    <w:p w14:paraId="4F7FDEB3" w14:textId="77777777" w:rsidR="00685EA5" w:rsidRPr="00685EA5" w:rsidRDefault="00685EA5" w:rsidP="00685EA5">
      <w:pPr>
        <w:jc w:val="center"/>
        <w:rPr>
          <w:rFonts w:ascii="Calibri" w:hAnsi="Calibri" w:cs="Calibri"/>
          <w:b/>
          <w:bCs/>
          <w:i/>
          <w:iCs/>
          <w:color w:val="2E74B5" w:themeColor="accent5" w:themeShade="BF"/>
          <w:lang w:val="en-GB"/>
        </w:rPr>
      </w:pPr>
      <w:r w:rsidRPr="00685EA5">
        <w:rPr>
          <w:rFonts w:ascii="Calibri" w:hAnsi="Calibri" w:cs="Calibri"/>
          <w:b/>
          <w:bCs/>
          <w:color w:val="2E74B5" w:themeColor="accent5" w:themeShade="BF"/>
          <w:lang w:val="en-GB"/>
        </w:rPr>
        <w:t xml:space="preserve">Immunomodulatory effects of </w:t>
      </w:r>
      <w:r w:rsidRPr="00685EA5">
        <w:rPr>
          <w:rFonts w:ascii="Calibri" w:hAnsi="Calibri" w:cs="Calibri"/>
          <w:b/>
          <w:bCs/>
          <w:i/>
          <w:iCs/>
          <w:color w:val="2E74B5" w:themeColor="accent5" w:themeShade="BF"/>
          <w:lang w:val="en-GB"/>
        </w:rPr>
        <w:t>Helicobacter pylori</w:t>
      </w:r>
      <w:r w:rsidRPr="00685EA5">
        <w:rPr>
          <w:rFonts w:ascii="Calibri" w:hAnsi="Calibri" w:cs="Calibri"/>
          <w:b/>
          <w:bCs/>
          <w:color w:val="2E74B5" w:themeColor="accent5" w:themeShade="BF"/>
          <w:lang w:val="en-GB"/>
        </w:rPr>
        <w:t xml:space="preserve"> Neutrophil Activating Protein (HP-NAP) on human and canine macrophages infected with </w:t>
      </w:r>
      <w:r w:rsidRPr="00685EA5">
        <w:rPr>
          <w:rFonts w:ascii="Calibri" w:hAnsi="Calibri" w:cs="Calibri"/>
          <w:b/>
          <w:bCs/>
          <w:i/>
          <w:iCs/>
          <w:color w:val="2E74B5" w:themeColor="accent5" w:themeShade="BF"/>
          <w:lang w:val="en-GB"/>
        </w:rPr>
        <w:t>Leishmania infantum</w:t>
      </w:r>
    </w:p>
    <w:p w14:paraId="4EAA747F" w14:textId="77777777" w:rsidR="00685EA5" w:rsidRPr="00685EA5" w:rsidRDefault="00685EA5" w:rsidP="00685EA5">
      <w:pPr>
        <w:rPr>
          <w:rFonts w:ascii="Calibri" w:hAnsi="Calibri" w:cs="Calibri"/>
          <w:b/>
          <w:bCs/>
          <w:i/>
          <w:iCs/>
          <w:color w:val="2E74B5" w:themeColor="accent5" w:themeShade="BF"/>
          <w:lang w:val="en-GB"/>
        </w:rPr>
      </w:pPr>
    </w:p>
    <w:p w14:paraId="2375F3BC" w14:textId="77777777" w:rsidR="00685EA5" w:rsidRDefault="00685EA5" w:rsidP="00685EA5">
      <w:pPr>
        <w:spacing w:line="360" w:lineRule="auto"/>
        <w:jc w:val="center"/>
        <w:rPr>
          <w:rFonts w:ascii="Calibri" w:hAnsi="Calibri" w:cs="Calibri"/>
          <w:color w:val="000000"/>
          <w:lang w:val="it-IT"/>
        </w:rPr>
      </w:pPr>
      <w:r w:rsidRPr="00685EA5">
        <w:rPr>
          <w:rFonts w:ascii="Calibri" w:hAnsi="Calibri" w:cs="Calibri"/>
          <w:color w:val="000000"/>
          <w:u w:val="single"/>
          <w:lang w:val="it-IT"/>
        </w:rPr>
        <w:t>Gaia Mazza</w:t>
      </w:r>
      <w:r w:rsidRPr="00685EA5">
        <w:rPr>
          <w:rFonts w:ascii="Calibri" w:hAnsi="Calibri" w:cs="Calibri"/>
          <w:color w:val="000000"/>
          <w:u w:val="single"/>
          <w:vertAlign w:val="superscript"/>
          <w:lang w:val="it-IT"/>
        </w:rPr>
        <w:t>a</w:t>
      </w:r>
      <w:r w:rsidRPr="009A6B79">
        <w:rPr>
          <w:rFonts w:ascii="Calibri" w:hAnsi="Calibri" w:cs="Calibri"/>
          <w:color w:val="000000"/>
          <w:lang w:val="it-IT"/>
        </w:rPr>
        <w:t xml:space="preserve">, </w:t>
      </w:r>
      <w:r>
        <w:rPr>
          <w:rFonts w:ascii="Calibri" w:hAnsi="Calibri" w:cs="Calibri"/>
          <w:color w:val="000000"/>
          <w:lang w:val="it-IT"/>
        </w:rPr>
        <w:t>Silvia Parapini</w:t>
      </w:r>
      <w:r>
        <w:rPr>
          <w:rFonts w:ascii="Calibri" w:hAnsi="Calibri" w:cs="Calibri"/>
          <w:color w:val="000000"/>
          <w:vertAlign w:val="superscript"/>
          <w:lang w:val="it-IT"/>
        </w:rPr>
        <w:t>b</w:t>
      </w:r>
      <w:r w:rsidRPr="009A6B79">
        <w:rPr>
          <w:rFonts w:ascii="Calibri" w:hAnsi="Calibri" w:cs="Calibri"/>
          <w:color w:val="000000"/>
          <w:lang w:val="it-IT"/>
        </w:rPr>
        <w:t xml:space="preserve">, </w:t>
      </w:r>
      <w:r>
        <w:rPr>
          <w:rFonts w:ascii="Calibri" w:hAnsi="Calibri" w:cs="Calibri"/>
          <w:color w:val="000000"/>
          <w:lang w:val="it-IT"/>
        </w:rPr>
        <w:t>Abirla Murugan</w:t>
      </w:r>
      <w:r w:rsidRPr="009A6B79">
        <w:rPr>
          <w:rFonts w:ascii="Calibri" w:hAnsi="Calibri" w:cs="Calibri"/>
          <w:color w:val="000000"/>
          <w:vertAlign w:val="superscript"/>
          <w:lang w:val="it-IT"/>
        </w:rPr>
        <w:t>a</w:t>
      </w:r>
      <w:r>
        <w:rPr>
          <w:rFonts w:ascii="Calibri" w:hAnsi="Calibri" w:cs="Calibri"/>
          <w:color w:val="000000"/>
          <w:lang w:val="it-IT"/>
        </w:rPr>
        <w:t xml:space="preserve">, </w:t>
      </w:r>
      <w:r w:rsidRPr="009A6B79">
        <w:rPr>
          <w:rFonts w:ascii="Calibri" w:hAnsi="Calibri" w:cs="Calibri"/>
          <w:color w:val="000000"/>
          <w:lang w:val="it-IT"/>
        </w:rPr>
        <w:t>Donatella Taramelli</w:t>
      </w:r>
      <w:r w:rsidRPr="009A6B79">
        <w:rPr>
          <w:rFonts w:ascii="Calibri" w:hAnsi="Calibri" w:cs="Calibri"/>
          <w:color w:val="000000"/>
          <w:vertAlign w:val="superscript"/>
          <w:lang w:val="it-IT"/>
        </w:rPr>
        <w:t>c</w:t>
      </w:r>
      <w:r w:rsidRPr="009A6B79">
        <w:rPr>
          <w:rFonts w:ascii="Calibri" w:hAnsi="Calibri" w:cs="Calibri"/>
          <w:color w:val="000000"/>
          <w:lang w:val="it-IT"/>
        </w:rPr>
        <w:t>, Dani</w:t>
      </w:r>
      <w:r>
        <w:rPr>
          <w:rFonts w:ascii="Calibri" w:hAnsi="Calibri" w:cs="Calibri"/>
          <w:color w:val="000000"/>
          <w:lang w:val="it-IT"/>
        </w:rPr>
        <w:t>ela Proverbio</w:t>
      </w:r>
      <w:r>
        <w:rPr>
          <w:rFonts w:ascii="Calibri" w:hAnsi="Calibri" w:cs="Calibri"/>
          <w:color w:val="000000"/>
          <w:vertAlign w:val="superscript"/>
          <w:lang w:val="it-IT"/>
        </w:rPr>
        <w:t>d</w:t>
      </w:r>
      <w:r>
        <w:rPr>
          <w:rFonts w:ascii="Calibri" w:hAnsi="Calibri" w:cs="Calibri"/>
          <w:color w:val="000000"/>
          <w:lang w:val="it-IT"/>
        </w:rPr>
        <w:t xml:space="preserve">, </w:t>
      </w:r>
      <w:r w:rsidRPr="009A6B79">
        <w:rPr>
          <w:rFonts w:ascii="Calibri" w:hAnsi="Calibri" w:cs="Calibri"/>
          <w:color w:val="000000"/>
          <w:lang w:val="it-IT"/>
        </w:rPr>
        <w:t>Mario Milco D’Elios</w:t>
      </w:r>
      <w:r>
        <w:rPr>
          <w:rFonts w:ascii="Calibri" w:hAnsi="Calibri" w:cs="Calibri"/>
          <w:color w:val="000000"/>
          <w:vertAlign w:val="superscript"/>
          <w:lang w:val="it-IT"/>
        </w:rPr>
        <w:t>e</w:t>
      </w:r>
      <w:r w:rsidRPr="009A6B79">
        <w:rPr>
          <w:rFonts w:ascii="Calibri" w:hAnsi="Calibri" w:cs="Calibri"/>
          <w:color w:val="000000"/>
          <w:lang w:val="it-IT"/>
        </w:rPr>
        <w:t>, Marina De Bernard</w:t>
      </w:r>
      <w:r>
        <w:rPr>
          <w:rFonts w:ascii="Calibri" w:hAnsi="Calibri" w:cs="Calibri"/>
          <w:color w:val="000000"/>
          <w:vertAlign w:val="superscript"/>
          <w:lang w:val="it-IT"/>
        </w:rPr>
        <w:t>f</w:t>
      </w:r>
      <w:r w:rsidRPr="009A6B79">
        <w:rPr>
          <w:rFonts w:ascii="Calibri" w:hAnsi="Calibri" w:cs="Calibri"/>
          <w:color w:val="000000"/>
          <w:lang w:val="it-IT"/>
        </w:rPr>
        <w:t>, Fabrizio Bruschi</w:t>
      </w:r>
      <w:r>
        <w:rPr>
          <w:rFonts w:ascii="Calibri" w:hAnsi="Calibri" w:cs="Calibri"/>
          <w:color w:val="000000"/>
          <w:vertAlign w:val="superscript"/>
          <w:lang w:val="it-IT"/>
        </w:rPr>
        <w:t>g</w:t>
      </w:r>
      <w:r>
        <w:rPr>
          <w:rFonts w:ascii="Calibri" w:hAnsi="Calibri" w:cs="Calibri"/>
          <w:color w:val="000000"/>
          <w:lang w:val="it-IT"/>
        </w:rPr>
        <w:t xml:space="preserve">, </w:t>
      </w:r>
      <w:r w:rsidRPr="009A6B79">
        <w:rPr>
          <w:rFonts w:ascii="Calibri" w:hAnsi="Calibri" w:cs="Calibri"/>
          <w:color w:val="000000"/>
          <w:lang w:val="it-IT"/>
        </w:rPr>
        <w:t>Nicoletta Basilico</w:t>
      </w:r>
      <w:r w:rsidRPr="009A6B79">
        <w:rPr>
          <w:rFonts w:ascii="Calibri" w:hAnsi="Calibri" w:cs="Calibri"/>
          <w:color w:val="000000"/>
          <w:vertAlign w:val="superscript"/>
          <w:lang w:val="it-IT"/>
        </w:rPr>
        <w:t>a</w:t>
      </w:r>
    </w:p>
    <w:p w14:paraId="7F1434DB" w14:textId="77777777" w:rsidR="00685EA5" w:rsidRPr="00B82C29" w:rsidRDefault="00685EA5" w:rsidP="00685EA5">
      <w:pPr>
        <w:jc w:val="center"/>
        <w:rPr>
          <w:rFonts w:asciiTheme="minorHAnsi" w:hAnsiTheme="minorHAnsi" w:cstheme="minorHAnsi"/>
          <w:color w:val="000000"/>
          <w:sz w:val="22"/>
          <w:szCs w:val="22"/>
          <w:lang w:val="en-GB"/>
        </w:rPr>
      </w:pPr>
      <w:r w:rsidRPr="00B82C29">
        <w:rPr>
          <w:rFonts w:asciiTheme="minorHAnsi" w:hAnsiTheme="minorHAnsi" w:cstheme="minorHAnsi"/>
          <w:color w:val="000000"/>
          <w:sz w:val="22"/>
          <w:szCs w:val="22"/>
          <w:vertAlign w:val="superscript"/>
          <w:lang w:val="en-GB"/>
        </w:rPr>
        <w:t>a</w:t>
      </w:r>
      <w:r w:rsidRPr="00B82C29">
        <w:rPr>
          <w:rFonts w:asciiTheme="minorHAnsi" w:hAnsiTheme="minorHAnsi" w:cstheme="minorHAnsi"/>
          <w:color w:val="000000"/>
          <w:sz w:val="22"/>
          <w:szCs w:val="22"/>
          <w:lang w:val="en-GB"/>
        </w:rPr>
        <w:t xml:space="preserve">Department of Biomedical, Surgical and Dental Sciences, University of  Milan, Italy; </w:t>
      </w:r>
    </w:p>
    <w:p w14:paraId="453CB34A" w14:textId="77777777" w:rsidR="00685EA5" w:rsidRPr="00B82C29" w:rsidRDefault="00685EA5" w:rsidP="00685EA5">
      <w:pPr>
        <w:jc w:val="center"/>
        <w:rPr>
          <w:rFonts w:asciiTheme="minorHAnsi" w:hAnsiTheme="minorHAnsi" w:cstheme="minorHAnsi"/>
          <w:color w:val="000000"/>
          <w:sz w:val="22"/>
          <w:szCs w:val="22"/>
          <w:lang w:val="en-GB"/>
        </w:rPr>
      </w:pPr>
      <w:r w:rsidRPr="00B82C29">
        <w:rPr>
          <w:rFonts w:asciiTheme="minorHAnsi" w:hAnsiTheme="minorHAnsi" w:cstheme="minorHAnsi"/>
          <w:color w:val="000000"/>
          <w:sz w:val="22"/>
          <w:szCs w:val="22"/>
          <w:vertAlign w:val="superscript"/>
          <w:lang w:val="en-GB"/>
        </w:rPr>
        <w:t>b</w:t>
      </w:r>
      <w:r w:rsidRPr="00B82C29">
        <w:rPr>
          <w:rFonts w:asciiTheme="minorHAnsi" w:hAnsiTheme="minorHAnsi" w:cstheme="minorHAnsi"/>
          <w:color w:val="000000"/>
          <w:sz w:val="22"/>
          <w:szCs w:val="22"/>
          <w:lang w:val="en-GB"/>
        </w:rPr>
        <w:t>Department of Biomedical Sciences for Healths, University of Milan, Italy;</w:t>
      </w:r>
    </w:p>
    <w:p w14:paraId="44B6EFC8" w14:textId="77777777" w:rsidR="00685EA5" w:rsidRPr="00B82C29" w:rsidRDefault="00685EA5" w:rsidP="00685EA5">
      <w:pPr>
        <w:jc w:val="center"/>
        <w:rPr>
          <w:rFonts w:asciiTheme="minorHAnsi" w:hAnsiTheme="minorHAnsi" w:cstheme="minorHAnsi"/>
          <w:color w:val="000000"/>
          <w:sz w:val="22"/>
          <w:szCs w:val="22"/>
          <w:lang w:val="en-GB"/>
        </w:rPr>
      </w:pPr>
      <w:r w:rsidRPr="00B82C29">
        <w:rPr>
          <w:rFonts w:asciiTheme="minorHAnsi" w:hAnsiTheme="minorHAnsi" w:cstheme="minorHAnsi"/>
          <w:color w:val="000000"/>
          <w:sz w:val="22"/>
          <w:szCs w:val="22"/>
          <w:vertAlign w:val="superscript"/>
          <w:lang w:val="en-GB"/>
        </w:rPr>
        <w:t>c</w:t>
      </w:r>
      <w:r w:rsidRPr="00B82C29">
        <w:rPr>
          <w:rFonts w:asciiTheme="minorHAnsi" w:hAnsiTheme="minorHAnsi" w:cstheme="minorHAnsi"/>
          <w:color w:val="000000"/>
          <w:sz w:val="22"/>
          <w:szCs w:val="22"/>
          <w:lang w:val="en-GB"/>
        </w:rPr>
        <w:t>Department of Pharmacological and Biomolecular Sciences, University of  Milan, Italy;</w:t>
      </w:r>
    </w:p>
    <w:p w14:paraId="39199397" w14:textId="77777777" w:rsidR="00685EA5" w:rsidRPr="00B82C29" w:rsidRDefault="00685EA5" w:rsidP="00685EA5">
      <w:pPr>
        <w:jc w:val="center"/>
        <w:rPr>
          <w:rFonts w:asciiTheme="minorHAnsi" w:hAnsiTheme="minorHAnsi" w:cstheme="minorHAnsi"/>
          <w:color w:val="000000"/>
          <w:sz w:val="22"/>
          <w:szCs w:val="22"/>
          <w:lang w:val="en-GB"/>
        </w:rPr>
      </w:pPr>
      <w:r w:rsidRPr="00B82C29">
        <w:rPr>
          <w:rFonts w:asciiTheme="minorHAnsi" w:hAnsiTheme="minorHAnsi" w:cstheme="minorHAnsi"/>
          <w:color w:val="000000"/>
          <w:sz w:val="22"/>
          <w:szCs w:val="22"/>
          <w:vertAlign w:val="superscript"/>
          <w:lang w:val="en-GB"/>
        </w:rPr>
        <w:t>d</w:t>
      </w:r>
      <w:r w:rsidRPr="00B82C29">
        <w:rPr>
          <w:rFonts w:asciiTheme="minorHAnsi" w:hAnsiTheme="minorHAnsi" w:cstheme="minorHAnsi"/>
          <w:color w:val="000000"/>
          <w:sz w:val="22"/>
          <w:szCs w:val="22"/>
          <w:lang w:val="en-GB"/>
        </w:rPr>
        <w:t xml:space="preserve">Department of Veterinary Medicine and Animal Sciences, University of Milan, Italy </w:t>
      </w:r>
    </w:p>
    <w:p w14:paraId="253FC9B8" w14:textId="77777777" w:rsidR="00685EA5" w:rsidRPr="00B82C29" w:rsidRDefault="00685EA5" w:rsidP="00685EA5">
      <w:pPr>
        <w:jc w:val="center"/>
        <w:rPr>
          <w:rFonts w:asciiTheme="minorHAnsi" w:hAnsiTheme="minorHAnsi" w:cstheme="minorHAnsi"/>
          <w:color w:val="000000"/>
          <w:sz w:val="22"/>
          <w:szCs w:val="22"/>
          <w:lang w:val="en-GB"/>
        </w:rPr>
      </w:pPr>
      <w:r w:rsidRPr="00B82C29">
        <w:rPr>
          <w:rFonts w:asciiTheme="minorHAnsi" w:hAnsiTheme="minorHAnsi" w:cstheme="minorHAnsi"/>
          <w:color w:val="000000"/>
          <w:sz w:val="22"/>
          <w:szCs w:val="22"/>
          <w:vertAlign w:val="superscript"/>
          <w:lang w:val="en-GB"/>
        </w:rPr>
        <w:t>e</w:t>
      </w:r>
      <w:r w:rsidRPr="00B82C29">
        <w:rPr>
          <w:rFonts w:asciiTheme="minorHAnsi" w:hAnsiTheme="minorHAnsi" w:cstheme="minorHAnsi"/>
          <w:color w:val="000000"/>
          <w:sz w:val="22"/>
          <w:szCs w:val="22"/>
          <w:lang w:val="en-GB"/>
        </w:rPr>
        <w:t>Department of Molecular and Developmental Medicine, University of Siena, Italy;</w:t>
      </w:r>
    </w:p>
    <w:p w14:paraId="1B2A64B9" w14:textId="77777777" w:rsidR="00685EA5" w:rsidRPr="00B82C29" w:rsidRDefault="00685EA5" w:rsidP="00685EA5">
      <w:pPr>
        <w:jc w:val="center"/>
        <w:rPr>
          <w:rFonts w:asciiTheme="minorHAnsi" w:hAnsiTheme="minorHAnsi" w:cstheme="minorHAnsi"/>
          <w:color w:val="000000"/>
          <w:sz w:val="22"/>
          <w:szCs w:val="22"/>
          <w:lang w:val="en-GB"/>
        </w:rPr>
      </w:pPr>
      <w:r w:rsidRPr="00B82C29">
        <w:rPr>
          <w:rFonts w:asciiTheme="minorHAnsi" w:hAnsiTheme="minorHAnsi" w:cstheme="minorHAnsi"/>
          <w:color w:val="000000"/>
          <w:sz w:val="22"/>
          <w:szCs w:val="22"/>
          <w:vertAlign w:val="superscript"/>
          <w:lang w:val="en-GB"/>
        </w:rPr>
        <w:t>f</w:t>
      </w:r>
      <w:r w:rsidRPr="00B82C29">
        <w:rPr>
          <w:rFonts w:asciiTheme="minorHAnsi" w:hAnsiTheme="minorHAnsi" w:cstheme="minorHAnsi"/>
          <w:color w:val="000000"/>
          <w:sz w:val="22"/>
          <w:szCs w:val="22"/>
          <w:lang w:val="en-GB"/>
        </w:rPr>
        <w:t xml:space="preserve">Department of Biology, University of Padua, Italy; </w:t>
      </w:r>
    </w:p>
    <w:p w14:paraId="4466CE9F" w14:textId="77777777" w:rsidR="00685EA5" w:rsidRPr="00B82C29" w:rsidRDefault="00685EA5" w:rsidP="00685EA5">
      <w:pPr>
        <w:jc w:val="center"/>
        <w:rPr>
          <w:rFonts w:asciiTheme="minorHAnsi" w:hAnsiTheme="minorHAnsi" w:cstheme="minorHAnsi"/>
          <w:color w:val="000000"/>
          <w:sz w:val="22"/>
          <w:szCs w:val="22"/>
          <w:lang w:val="en-GB"/>
        </w:rPr>
      </w:pPr>
      <w:r w:rsidRPr="00B82C29">
        <w:rPr>
          <w:rFonts w:asciiTheme="minorHAnsi" w:hAnsiTheme="minorHAnsi" w:cstheme="minorHAnsi"/>
          <w:color w:val="000000"/>
          <w:sz w:val="22"/>
          <w:szCs w:val="22"/>
          <w:vertAlign w:val="superscript"/>
          <w:lang w:val="en-GB"/>
        </w:rPr>
        <w:t>g</w:t>
      </w:r>
      <w:r w:rsidRPr="00B82C29">
        <w:rPr>
          <w:rFonts w:asciiTheme="minorHAnsi" w:hAnsiTheme="minorHAnsi" w:cstheme="minorHAnsi"/>
          <w:color w:val="000000"/>
          <w:sz w:val="22"/>
          <w:szCs w:val="22"/>
          <w:lang w:val="en-GB"/>
        </w:rPr>
        <w:t>Department of Translational Research, University of Pisa, Italy</w:t>
      </w:r>
    </w:p>
    <w:p w14:paraId="37117331" w14:textId="77777777" w:rsidR="00685EA5" w:rsidRPr="00B82C29" w:rsidRDefault="00685EA5" w:rsidP="00685EA5">
      <w:pPr>
        <w:jc w:val="center"/>
        <w:rPr>
          <w:rFonts w:asciiTheme="minorHAnsi" w:hAnsiTheme="minorHAnsi" w:cstheme="minorHAnsi"/>
          <w:color w:val="000000"/>
          <w:sz w:val="22"/>
          <w:szCs w:val="22"/>
          <w:lang w:val="en-GB"/>
        </w:rPr>
      </w:pPr>
    </w:p>
    <w:p w14:paraId="337CF8F1" w14:textId="77777777" w:rsidR="00685EA5" w:rsidRPr="00B82C29" w:rsidRDefault="00000000" w:rsidP="00685EA5">
      <w:pPr>
        <w:jc w:val="center"/>
        <w:rPr>
          <w:rFonts w:asciiTheme="minorHAnsi" w:hAnsiTheme="minorHAnsi" w:cstheme="minorHAnsi"/>
          <w:color w:val="000000"/>
          <w:sz w:val="22"/>
          <w:szCs w:val="22"/>
        </w:rPr>
      </w:pPr>
      <w:hyperlink r:id="rId27" w:history="1">
        <w:r w:rsidR="00685EA5" w:rsidRPr="00B82C29">
          <w:rPr>
            <w:rStyle w:val="Hyperlink"/>
            <w:rFonts w:asciiTheme="minorHAnsi" w:hAnsiTheme="minorHAnsi" w:cstheme="minorHAnsi"/>
            <w:sz w:val="22"/>
            <w:szCs w:val="22"/>
          </w:rPr>
          <w:t>gaia.mazza@unimi.it</w:t>
        </w:r>
      </w:hyperlink>
    </w:p>
    <w:p w14:paraId="5C66FCBB" w14:textId="77777777" w:rsidR="00685EA5" w:rsidRPr="002B4C2D" w:rsidRDefault="00685EA5" w:rsidP="00685EA5">
      <w:pPr>
        <w:jc w:val="center"/>
        <w:rPr>
          <w:rFonts w:ascii="Calibri" w:hAnsi="Calibri" w:cs="Calibri"/>
          <w:color w:val="000000"/>
          <w:sz w:val="22"/>
          <w:szCs w:val="22"/>
        </w:rPr>
      </w:pPr>
    </w:p>
    <w:p w14:paraId="3EC435A1" w14:textId="77777777" w:rsidR="00685EA5" w:rsidRPr="00AF3E5B" w:rsidRDefault="00685EA5" w:rsidP="00B82C29">
      <w:pPr>
        <w:jc w:val="both"/>
        <w:rPr>
          <w:rFonts w:ascii="Calibri" w:hAnsi="Calibri" w:cs="Calibri"/>
        </w:rPr>
      </w:pPr>
      <w:r w:rsidRPr="00AF3E5B">
        <w:rPr>
          <w:rFonts w:ascii="Calibri" w:hAnsi="Calibri" w:cs="Calibri"/>
        </w:rPr>
        <w:t xml:space="preserve">Macrophages play a central role in </w:t>
      </w:r>
      <w:r w:rsidRPr="00A176BD">
        <w:rPr>
          <w:rFonts w:ascii="Calibri" w:hAnsi="Calibri" w:cs="Calibri"/>
          <w:i/>
        </w:rPr>
        <w:t>Leishmania</w:t>
      </w:r>
      <w:r w:rsidRPr="00AF3E5B">
        <w:rPr>
          <w:rFonts w:ascii="Calibri" w:hAnsi="Calibri" w:cs="Calibri"/>
        </w:rPr>
        <w:t xml:space="preserve"> infection, serving as the primary host cells for the parasites while also acting as key effector cells in their elimination through the production of mediators such as nitric oxide and reactive oxygen species. </w:t>
      </w:r>
      <w:r w:rsidRPr="00A176BD">
        <w:rPr>
          <w:rFonts w:ascii="Calibri" w:hAnsi="Calibri" w:cs="Calibri"/>
          <w:i/>
        </w:rPr>
        <w:t>Helicobacter pylori</w:t>
      </w:r>
      <w:r w:rsidRPr="00AF3E5B">
        <w:rPr>
          <w:rFonts w:ascii="Calibri" w:hAnsi="Calibri" w:cs="Calibri"/>
        </w:rPr>
        <w:t xml:space="preserve"> Neutrophil-Activating Protein (HP-NAP) is a bacterial protein with pro-inflammatory and immunomodulatory properties. HP-NAP has been shown to stimulate neutrophils to produce reactive oxygen species and inflammatory cytokines</w:t>
      </w:r>
      <w:r>
        <w:rPr>
          <w:rFonts w:ascii="Calibri" w:hAnsi="Calibri" w:cs="Calibri"/>
        </w:rPr>
        <w:t xml:space="preserve"> (</w:t>
      </w:r>
      <w:r w:rsidRPr="00AF3E5B">
        <w:rPr>
          <w:rFonts w:ascii="Calibri" w:hAnsi="Calibri" w:cs="Calibri"/>
        </w:rPr>
        <w:t>1</w:t>
      </w:r>
      <w:r>
        <w:rPr>
          <w:rFonts w:ascii="Calibri" w:hAnsi="Calibri" w:cs="Calibri"/>
        </w:rPr>
        <w:t>)</w:t>
      </w:r>
      <w:r w:rsidRPr="00AF3E5B">
        <w:rPr>
          <w:rFonts w:ascii="Calibri" w:hAnsi="Calibri" w:cs="Calibri"/>
        </w:rPr>
        <w:t xml:space="preserve">. However, its role in macrophage activation against </w:t>
      </w:r>
      <w:r w:rsidRPr="005358F4">
        <w:rPr>
          <w:rFonts w:ascii="Calibri" w:hAnsi="Calibri" w:cs="Calibri"/>
          <w:i/>
        </w:rPr>
        <w:t>Leishmania</w:t>
      </w:r>
      <w:r w:rsidRPr="00AF3E5B">
        <w:rPr>
          <w:rFonts w:ascii="Calibri" w:hAnsi="Calibri" w:cs="Calibri"/>
        </w:rPr>
        <w:t xml:space="preserve"> remains unexplored. This study aimed to evaluate the in vitro effects of HP-NAP on </w:t>
      </w:r>
      <w:r w:rsidRPr="005358F4">
        <w:rPr>
          <w:rFonts w:ascii="Calibri" w:hAnsi="Calibri" w:cs="Calibri"/>
          <w:i/>
        </w:rPr>
        <w:t>Leishmania infantum</w:t>
      </w:r>
      <w:r w:rsidRPr="00AF3E5B">
        <w:rPr>
          <w:rFonts w:ascii="Calibri" w:hAnsi="Calibri" w:cs="Calibri"/>
        </w:rPr>
        <w:t>-infected macrophages.</w:t>
      </w:r>
    </w:p>
    <w:p w14:paraId="084A4752" w14:textId="77777777" w:rsidR="00685EA5" w:rsidRPr="00AF3E5B" w:rsidRDefault="00685EA5" w:rsidP="00B82C29">
      <w:pPr>
        <w:jc w:val="both"/>
        <w:rPr>
          <w:rFonts w:ascii="Calibri" w:hAnsi="Calibri" w:cs="Calibri"/>
        </w:rPr>
      </w:pPr>
      <w:r w:rsidRPr="00AF3E5B">
        <w:rPr>
          <w:rFonts w:ascii="Calibri" w:hAnsi="Calibri" w:cs="Calibri"/>
        </w:rPr>
        <w:t>Human and canine monocytes were isolated from blood samples collected from healthy donors. Monocytes were differentiated into macrophages as described</w:t>
      </w:r>
      <w:r>
        <w:rPr>
          <w:rFonts w:ascii="Calibri" w:hAnsi="Calibri" w:cs="Calibri"/>
        </w:rPr>
        <w:t xml:space="preserve"> (</w:t>
      </w:r>
      <w:r w:rsidRPr="00AF3E5B">
        <w:rPr>
          <w:rFonts w:ascii="Calibri" w:hAnsi="Calibri" w:cs="Calibri"/>
        </w:rPr>
        <w:t>2,3</w:t>
      </w:r>
      <w:r>
        <w:rPr>
          <w:rFonts w:ascii="Calibri" w:hAnsi="Calibri" w:cs="Calibri"/>
        </w:rPr>
        <w:t>)</w:t>
      </w:r>
      <w:r w:rsidRPr="00AF3E5B">
        <w:rPr>
          <w:rFonts w:ascii="Calibri" w:hAnsi="Calibri" w:cs="Calibri"/>
        </w:rPr>
        <w:t xml:space="preserve">. Macrophages were then infected with stationary-phase promastigotes of </w:t>
      </w:r>
      <w:r w:rsidRPr="005358F4">
        <w:rPr>
          <w:rFonts w:ascii="Calibri" w:hAnsi="Calibri" w:cs="Calibri"/>
          <w:i/>
        </w:rPr>
        <w:t>L. infantum</w:t>
      </w:r>
      <w:r w:rsidRPr="00AF3E5B">
        <w:rPr>
          <w:rFonts w:ascii="Calibri" w:hAnsi="Calibri" w:cs="Calibri"/>
        </w:rPr>
        <w:t xml:space="preserve"> at a promastigote-to-cell ratio of 10:1 for 24 hours. Following infection, macrophages were treated with HP-NAP (from 20 to 1.25 µg/mL) for 72 hours. At the end of the incubation, the percentage of infected macrophages and the mean number of amastigotes per cell were determined. Cytokine production by </w:t>
      </w:r>
      <w:r w:rsidRPr="005358F4">
        <w:rPr>
          <w:rFonts w:ascii="Calibri" w:hAnsi="Calibri" w:cs="Calibri"/>
          <w:i/>
        </w:rPr>
        <w:t>L. infantum</w:t>
      </w:r>
      <w:r w:rsidRPr="00AF3E5B">
        <w:rPr>
          <w:rFonts w:ascii="Calibri" w:hAnsi="Calibri" w:cs="Calibri"/>
        </w:rPr>
        <w:t>-infected macrophages treated with HP-NAP was assessed in the supernatants using ELISA.</w:t>
      </w:r>
    </w:p>
    <w:p w14:paraId="249EC27F" w14:textId="77777777" w:rsidR="00685EA5" w:rsidRPr="00AF3E5B" w:rsidRDefault="00685EA5" w:rsidP="00B82C29">
      <w:pPr>
        <w:jc w:val="both"/>
        <w:rPr>
          <w:rFonts w:ascii="Calibri" w:hAnsi="Calibri" w:cs="Calibri"/>
        </w:rPr>
      </w:pPr>
      <w:r w:rsidRPr="00AF3E5B">
        <w:rPr>
          <w:rFonts w:ascii="Calibri" w:hAnsi="Calibri" w:cs="Calibri"/>
        </w:rPr>
        <w:t>Both canine and human macrophages efficiently phagocytize</w:t>
      </w:r>
      <w:r>
        <w:rPr>
          <w:rFonts w:ascii="Calibri" w:hAnsi="Calibri" w:cs="Calibri"/>
        </w:rPr>
        <w:t>d</w:t>
      </w:r>
      <w:r w:rsidRPr="00AF3E5B">
        <w:rPr>
          <w:rFonts w:ascii="Calibri" w:hAnsi="Calibri" w:cs="Calibri"/>
        </w:rPr>
        <w:t xml:space="preserve"> </w:t>
      </w:r>
      <w:r w:rsidRPr="005358F4">
        <w:rPr>
          <w:rFonts w:ascii="Calibri" w:hAnsi="Calibri" w:cs="Calibri"/>
          <w:i/>
        </w:rPr>
        <w:t>L. infantum</w:t>
      </w:r>
      <w:r w:rsidRPr="00AF3E5B">
        <w:rPr>
          <w:rFonts w:ascii="Calibri" w:hAnsi="Calibri" w:cs="Calibri"/>
        </w:rPr>
        <w:t xml:space="preserve"> promastigotes. After 24 hours of infection, canine macrophages exhibited an infection </w:t>
      </w:r>
      <w:r w:rsidRPr="00AF3E5B">
        <w:rPr>
          <w:rFonts w:ascii="Calibri" w:hAnsi="Calibri" w:cs="Calibri"/>
        </w:rPr>
        <w:lastRenderedPageBreak/>
        <w:t xml:space="preserve">rate of 82±16% and a mean of 7.4±2 amastigotes per cell. Treatment with 20 µg/mL HP-NAP reduced these values to 68±14% and 4.8±0.9, respectively. </w:t>
      </w:r>
      <w:r w:rsidRPr="0045166B">
        <w:rPr>
          <w:rFonts w:ascii="Calibri" w:hAnsi="Calibri" w:cs="Calibri"/>
        </w:rPr>
        <w:t>A similar trend was observed in human macrophages, with initial values of 68.6±2.1% infected cells and 16±3.1</w:t>
      </w:r>
      <w:r>
        <w:rPr>
          <w:rFonts w:ascii="Calibri" w:hAnsi="Calibri" w:cs="Calibri"/>
        </w:rPr>
        <w:t xml:space="preserve"> </w:t>
      </w:r>
      <w:r w:rsidRPr="0045166B">
        <w:rPr>
          <w:rFonts w:ascii="Calibri" w:hAnsi="Calibri" w:cs="Calibri"/>
        </w:rPr>
        <w:t>amastigotes per cell, which decreased to 53.3±0.4% and 9.9±0.02</w:t>
      </w:r>
      <w:r>
        <w:rPr>
          <w:rFonts w:ascii="Calibri" w:hAnsi="Calibri" w:cs="Calibri"/>
        </w:rPr>
        <w:t xml:space="preserve"> </w:t>
      </w:r>
      <w:r w:rsidRPr="0045166B">
        <w:rPr>
          <w:rFonts w:ascii="Calibri" w:hAnsi="Calibri" w:cs="Calibri"/>
        </w:rPr>
        <w:t>following HP-NAP treatment (20 µg/mL). HP-NAP induced IL-12, a key cytokine for anti-leishmanial Th1 responses, in infected canine macrophages, while IL-10 remained undetectable</w:t>
      </w:r>
      <w:r w:rsidRPr="00AF3E5B">
        <w:rPr>
          <w:rFonts w:ascii="Calibri" w:hAnsi="Calibri" w:cs="Calibri"/>
        </w:rPr>
        <w:t xml:space="preserve"> under all conditions</w:t>
      </w:r>
      <w:r>
        <w:rPr>
          <w:rFonts w:ascii="Calibri" w:hAnsi="Calibri" w:cs="Calibri"/>
        </w:rPr>
        <w:t>.</w:t>
      </w:r>
    </w:p>
    <w:p w14:paraId="79985454" w14:textId="77777777" w:rsidR="00685EA5" w:rsidRDefault="00685EA5" w:rsidP="00B82C29">
      <w:pPr>
        <w:jc w:val="both"/>
        <w:rPr>
          <w:rFonts w:ascii="Calibri" w:hAnsi="Calibri" w:cs="Calibri"/>
        </w:rPr>
      </w:pPr>
      <w:r w:rsidRPr="00AF3E5B">
        <w:rPr>
          <w:rFonts w:ascii="Calibri" w:hAnsi="Calibri" w:cs="Calibri"/>
        </w:rPr>
        <w:t>These findings indicate that HP-NAP can inhibit parasite growth and modulate cytokine production, supporting its potential as an immunomodulatory strategy.</w:t>
      </w:r>
    </w:p>
    <w:p w14:paraId="63E824AE" w14:textId="77777777" w:rsidR="00685EA5" w:rsidRDefault="00685EA5" w:rsidP="00B82C29">
      <w:pPr>
        <w:jc w:val="both"/>
        <w:rPr>
          <w:rFonts w:ascii="Calibri" w:hAnsi="Calibri" w:cs="Calibri"/>
        </w:rPr>
      </w:pPr>
    </w:p>
    <w:p w14:paraId="5BD42550" w14:textId="77777777" w:rsidR="00685EA5" w:rsidRDefault="00685EA5" w:rsidP="00685EA5">
      <w:pPr>
        <w:rPr>
          <w:rFonts w:ascii="Calibri" w:hAnsi="Calibri" w:cs="Calibri"/>
          <w:b/>
          <w:bCs/>
          <w:sz w:val="22"/>
          <w:szCs w:val="22"/>
        </w:rPr>
      </w:pPr>
      <w:r>
        <w:rPr>
          <w:rFonts w:ascii="Calibri" w:hAnsi="Calibri" w:cs="Calibri"/>
          <w:b/>
          <w:bCs/>
          <w:sz w:val="22"/>
          <w:szCs w:val="22"/>
        </w:rPr>
        <w:t>References</w:t>
      </w:r>
    </w:p>
    <w:p w14:paraId="74A862CC" w14:textId="77777777" w:rsidR="00685EA5" w:rsidRDefault="00685EA5" w:rsidP="00685EA5">
      <w:pPr>
        <w:rPr>
          <w:rFonts w:ascii="Calibri" w:hAnsi="Calibri" w:cs="Calibri"/>
          <w:spacing w:val="2"/>
          <w:sz w:val="22"/>
          <w:szCs w:val="22"/>
          <w:shd w:val="clear" w:color="auto" w:fill="FFFFFF"/>
        </w:rPr>
      </w:pPr>
      <w:r>
        <w:rPr>
          <w:rFonts w:ascii="Calibri" w:hAnsi="Calibri" w:cs="Calibri"/>
          <w:sz w:val="22"/>
          <w:szCs w:val="22"/>
          <w:lang w:val="hu-HU"/>
        </w:rPr>
        <w:t xml:space="preserve">[1] </w:t>
      </w:r>
      <w:r w:rsidRPr="00E170E9">
        <w:rPr>
          <w:rFonts w:ascii="Calibri" w:hAnsi="Calibri" w:cs="Calibri"/>
          <w:spacing w:val="2"/>
          <w:sz w:val="22"/>
          <w:szCs w:val="22"/>
          <w:shd w:val="clear" w:color="auto" w:fill="FFFFFF"/>
        </w:rPr>
        <w:t>Codolo G, Coletta S, D’Elios M M, de Bernard M. HP-NAP of Helicobacter pylori: The Power of the Immunomodulation. Frontiers in Immunology, 2022, 13, 1664-3224</w:t>
      </w:r>
      <w:r>
        <w:rPr>
          <w:rFonts w:ascii="Calibri" w:hAnsi="Calibri" w:cs="Calibri"/>
          <w:spacing w:val="2"/>
          <w:sz w:val="22"/>
          <w:szCs w:val="22"/>
          <w:shd w:val="clear" w:color="auto" w:fill="FFFFFF"/>
        </w:rPr>
        <w:t xml:space="preserve">. </w:t>
      </w:r>
      <w:r w:rsidRPr="006268E6">
        <w:rPr>
          <w:rFonts w:ascii="Calibri" w:hAnsi="Calibri" w:cs="Calibri"/>
          <w:spacing w:val="2"/>
          <w:sz w:val="22"/>
          <w:szCs w:val="22"/>
          <w:shd w:val="clear" w:color="auto" w:fill="FFFFFF"/>
        </w:rPr>
        <w:t>DOI=10.3389/fimmu.2022.944139</w:t>
      </w:r>
    </w:p>
    <w:p w14:paraId="7AE32C29" w14:textId="77777777" w:rsidR="00685EA5" w:rsidRDefault="00685EA5" w:rsidP="00685EA5">
      <w:pPr>
        <w:rPr>
          <w:rFonts w:ascii="Calibri" w:hAnsi="Calibri" w:cs="Calibri"/>
          <w:sz w:val="22"/>
          <w:szCs w:val="22"/>
          <w:lang w:val="en-GB"/>
        </w:rPr>
      </w:pPr>
      <w:r>
        <w:rPr>
          <w:rFonts w:ascii="Calibri" w:hAnsi="Calibri" w:cs="Calibri"/>
          <w:sz w:val="22"/>
          <w:szCs w:val="22"/>
          <w:lang w:val="hu-HU"/>
        </w:rPr>
        <w:t>[2]</w:t>
      </w:r>
      <w:r w:rsidRPr="005358F4">
        <w:rPr>
          <w:rFonts w:ascii="Calibri" w:hAnsi="Calibri" w:cs="Calibri"/>
          <w:sz w:val="22"/>
          <w:szCs w:val="22"/>
          <w:lang w:val="hu-HU"/>
        </w:rPr>
        <w:t xml:space="preserve"> </w:t>
      </w:r>
      <w:r w:rsidRPr="005358F4">
        <w:rPr>
          <w:rFonts w:ascii="Calibri" w:hAnsi="Calibri" w:cs="Calibri"/>
          <w:sz w:val="22"/>
          <w:szCs w:val="22"/>
          <w:lang w:val="it-IT"/>
        </w:rPr>
        <w:t xml:space="preserve">Calvo Alvarez E, D'Alessandro S, Proverbio D, Spada E, Perego R, Taramelli D, Basilico N, Parapini S. In Vitro Antiparasitic Activities of Monovalent Ionophore Compounds for Human and Canine Leishmaniases. </w:t>
      </w:r>
      <w:r w:rsidRPr="005358F4">
        <w:rPr>
          <w:rFonts w:ascii="Calibri" w:hAnsi="Calibri" w:cs="Calibri"/>
          <w:sz w:val="22"/>
          <w:szCs w:val="22"/>
          <w:lang w:val="en-GB"/>
        </w:rPr>
        <w:t>Animals (Basel</w:t>
      </w:r>
      <w:r>
        <w:rPr>
          <w:rFonts w:ascii="Calibri" w:hAnsi="Calibri" w:cs="Calibri"/>
          <w:sz w:val="22"/>
          <w:szCs w:val="22"/>
          <w:lang w:val="en-GB"/>
        </w:rPr>
        <w:t>). 2022 Sep 8;12(18):2337.</w:t>
      </w:r>
      <w:r w:rsidRPr="005358F4">
        <w:rPr>
          <w:rFonts w:ascii="Calibri" w:hAnsi="Calibri" w:cs="Calibri"/>
          <w:sz w:val="22"/>
          <w:szCs w:val="22"/>
          <w:lang w:val="en-GB"/>
        </w:rPr>
        <w:t xml:space="preserve">doi:10.3390/ani12182337. </w:t>
      </w:r>
    </w:p>
    <w:p w14:paraId="78220B11" w14:textId="77777777" w:rsidR="00685EA5" w:rsidRPr="005358F4" w:rsidRDefault="00685EA5" w:rsidP="00685EA5">
      <w:pPr>
        <w:rPr>
          <w:rFonts w:ascii="Calibri" w:hAnsi="Calibri" w:cs="Calibri"/>
          <w:sz w:val="22"/>
          <w:szCs w:val="22"/>
          <w:lang w:val="en-GB"/>
        </w:rPr>
      </w:pPr>
      <w:r>
        <w:rPr>
          <w:rFonts w:ascii="Calibri" w:hAnsi="Calibri" w:cs="Calibri"/>
          <w:sz w:val="22"/>
          <w:szCs w:val="22"/>
          <w:lang w:val="hu-HU"/>
        </w:rPr>
        <w:t>[3]</w:t>
      </w:r>
      <w:r w:rsidRPr="005358F4">
        <w:rPr>
          <w:rFonts w:ascii="Calibri" w:hAnsi="Calibri" w:cs="Calibri"/>
          <w:sz w:val="22"/>
          <w:szCs w:val="22"/>
          <w:lang w:val="hu-HU"/>
        </w:rPr>
        <w:t xml:space="preserve"> </w:t>
      </w:r>
      <w:r w:rsidRPr="005358F4">
        <w:rPr>
          <w:rFonts w:ascii="Calibri" w:hAnsi="Calibri" w:cs="Calibri"/>
          <w:sz w:val="22"/>
          <w:szCs w:val="22"/>
          <w:lang w:val="en-GB"/>
        </w:rPr>
        <w:t xml:space="preserve">Cassol E, Cassetta L, Rizzi C, Alfano M, Poli G. M1 and M2a polarization of human monocyte-derived macrophages inhibits HIV-1 replication by distinct mechanisms. J Immunol. 2009 May 15;182(10):6237-46. doi: 10.4049/jimmunol.0803447. </w:t>
      </w:r>
    </w:p>
    <w:p w14:paraId="70F3973C" w14:textId="77777777" w:rsidR="00685EA5" w:rsidRDefault="00685EA5" w:rsidP="00685EA5">
      <w:pPr>
        <w:rPr>
          <w:rFonts w:ascii="Calibri" w:hAnsi="Calibri" w:cs="Calibri"/>
          <w:spacing w:val="2"/>
          <w:sz w:val="22"/>
          <w:szCs w:val="22"/>
          <w:shd w:val="clear" w:color="auto" w:fill="FFFFFF"/>
        </w:rPr>
      </w:pPr>
    </w:p>
    <w:p w14:paraId="4BFDC6B7" w14:textId="77777777" w:rsidR="00685EA5" w:rsidRDefault="00685EA5" w:rsidP="00685EA5">
      <w:pPr>
        <w:rPr>
          <w:rFonts w:ascii="Calibri" w:hAnsi="Calibri" w:cs="Calibri"/>
          <w:b/>
          <w:bCs/>
          <w:spacing w:val="2"/>
          <w:sz w:val="22"/>
          <w:szCs w:val="22"/>
          <w:shd w:val="clear" w:color="auto" w:fill="FFFFFF"/>
        </w:rPr>
      </w:pPr>
      <w:r>
        <w:rPr>
          <w:rFonts w:ascii="Calibri" w:hAnsi="Calibri" w:cs="Calibri"/>
          <w:b/>
          <w:bCs/>
          <w:spacing w:val="2"/>
          <w:sz w:val="22"/>
          <w:szCs w:val="22"/>
          <w:shd w:val="clear" w:color="auto" w:fill="FFFFFF"/>
        </w:rPr>
        <w:t>Acknowledgment</w:t>
      </w:r>
    </w:p>
    <w:p w14:paraId="61BD464D" w14:textId="77777777" w:rsidR="00685EA5" w:rsidRDefault="00685EA5" w:rsidP="00685EA5">
      <w:pPr>
        <w:rPr>
          <w:rFonts w:ascii="Calibri" w:hAnsi="Calibri" w:cs="Calibri"/>
          <w:sz w:val="22"/>
          <w:szCs w:val="22"/>
        </w:rPr>
      </w:pPr>
      <w:r>
        <w:rPr>
          <w:rFonts w:ascii="Calibri" w:hAnsi="Calibri" w:cs="Calibri"/>
          <w:spacing w:val="2"/>
          <w:sz w:val="22"/>
          <w:szCs w:val="22"/>
          <w:shd w:val="clear" w:color="auto" w:fill="FFFFFF"/>
        </w:rPr>
        <w:t xml:space="preserve">The Authors acknowledge the </w:t>
      </w:r>
      <w:r w:rsidRPr="00434FF9">
        <w:rPr>
          <w:rFonts w:ascii="Calibri" w:hAnsi="Calibri" w:cs="Calibri"/>
          <w:spacing w:val="2"/>
          <w:sz w:val="22"/>
          <w:szCs w:val="22"/>
          <w:shd w:val="clear" w:color="auto" w:fill="FFFFFF"/>
          <w:lang w:val="en-GB"/>
        </w:rPr>
        <w:t>Research Support Program (PSR, piano di sostegno alla ricerca, Linea 2) – Annual Fund for Institutional Activities</w:t>
      </w:r>
      <w:r>
        <w:rPr>
          <w:rFonts w:ascii="Calibri" w:hAnsi="Calibri" w:cs="Calibri"/>
          <w:spacing w:val="2"/>
          <w:sz w:val="22"/>
          <w:szCs w:val="22"/>
          <w:shd w:val="clear" w:color="auto" w:fill="FFFFFF"/>
          <w:lang w:val="en-GB"/>
        </w:rPr>
        <w:t xml:space="preserve"> 2022 by University of Milan</w:t>
      </w:r>
      <w:r>
        <w:rPr>
          <w:rFonts w:ascii="Calibri" w:hAnsi="Calibri" w:cs="Calibri"/>
          <w:spacing w:val="2"/>
          <w:sz w:val="22"/>
          <w:szCs w:val="22"/>
          <w:shd w:val="clear" w:color="auto" w:fill="FFFFFF"/>
        </w:rPr>
        <w:t xml:space="preserve"> </w:t>
      </w:r>
      <w:r>
        <w:rPr>
          <w:rFonts w:ascii="Calibri" w:hAnsi="Calibri" w:cs="Calibri"/>
          <w:sz w:val="22"/>
          <w:szCs w:val="22"/>
        </w:rPr>
        <w:t>for the financial support.</w:t>
      </w:r>
    </w:p>
    <w:p w14:paraId="353EE06C" w14:textId="4DCBB80A" w:rsidR="00685EA5" w:rsidRDefault="00685EA5">
      <w:pPr>
        <w:rPr>
          <w:rFonts w:ascii="Calibri" w:hAnsi="Calibri" w:cs="Calibri"/>
          <w:sz w:val="22"/>
          <w:szCs w:val="22"/>
        </w:rPr>
      </w:pPr>
      <w:r>
        <w:rPr>
          <w:rFonts w:ascii="Calibri" w:hAnsi="Calibri" w:cs="Calibri"/>
          <w:sz w:val="22"/>
          <w:szCs w:val="22"/>
        </w:rPr>
        <w:br w:type="page"/>
      </w:r>
    </w:p>
    <w:p w14:paraId="1B6048B4" w14:textId="77777777" w:rsidR="00685EA5" w:rsidRDefault="00685EA5" w:rsidP="00685EA5">
      <w:pPr>
        <w:rPr>
          <w:rFonts w:ascii="Calibri" w:hAnsi="Calibri" w:cs="Calibri"/>
          <w:sz w:val="22"/>
          <w:szCs w:val="22"/>
        </w:rPr>
      </w:pPr>
    </w:p>
    <w:p w14:paraId="66540EAE" w14:textId="3416B8AA" w:rsidR="00685EA5" w:rsidRPr="00E45C3D" w:rsidRDefault="00685EA5" w:rsidP="00685EA5">
      <w:pPr>
        <w:jc w:val="center"/>
        <w:rPr>
          <w:rFonts w:ascii="Calibri" w:hAnsi="Calibri" w:cs="Calibri"/>
          <w:b/>
          <w:bCs/>
          <w:color w:val="2E74B5" w:themeColor="accent5" w:themeShade="BF"/>
          <w:lang w:val="en-GB"/>
        </w:rPr>
      </w:pPr>
      <w:r w:rsidRPr="00E45C3D">
        <w:rPr>
          <w:rFonts w:ascii="Calibri" w:hAnsi="Calibri" w:cs="Calibri"/>
          <w:b/>
          <w:bCs/>
          <w:color w:val="2E74B5" w:themeColor="accent5" w:themeShade="BF"/>
          <w:lang w:val="en-GB"/>
        </w:rPr>
        <w:t>Plasmodione antimalarial activity is partially mediated by the NADH dehydrogenase PfNDH2</w:t>
      </w:r>
    </w:p>
    <w:p w14:paraId="182E5380" w14:textId="77777777" w:rsidR="00685EA5" w:rsidRPr="00E45C3D" w:rsidRDefault="00685EA5" w:rsidP="00685EA5">
      <w:pPr>
        <w:jc w:val="center"/>
        <w:rPr>
          <w:rFonts w:ascii="Calibri" w:hAnsi="Calibri" w:cs="Calibri"/>
        </w:rPr>
      </w:pPr>
    </w:p>
    <w:p w14:paraId="54BC232C" w14:textId="6BE2A0D6" w:rsidR="00685EA5" w:rsidRPr="00E45C3D" w:rsidRDefault="00685EA5" w:rsidP="00685EA5">
      <w:pPr>
        <w:spacing w:line="360" w:lineRule="auto"/>
        <w:jc w:val="center"/>
        <w:rPr>
          <w:rFonts w:ascii="Calibri" w:hAnsi="Calibri" w:cs="Calibri"/>
          <w:color w:val="000000"/>
        </w:rPr>
      </w:pPr>
      <w:r w:rsidRPr="00E45C3D">
        <w:rPr>
          <w:rFonts w:ascii="Calibri" w:hAnsi="Calibri" w:cs="Calibri"/>
          <w:color w:val="000000"/>
        </w:rPr>
        <w:t>Lionel Brice Feufack-Donfack</w:t>
      </w:r>
      <w:r w:rsidRPr="00E45C3D">
        <w:rPr>
          <w:rFonts w:ascii="Calibri" w:hAnsi="Calibri" w:cs="Calibri"/>
          <w:color w:val="000000"/>
          <w:vertAlign w:val="superscript"/>
        </w:rPr>
        <w:t>1</w:t>
      </w:r>
      <w:r w:rsidRPr="00E45C3D">
        <w:rPr>
          <w:rFonts w:ascii="Calibri" w:hAnsi="Calibri" w:cs="Calibri"/>
          <w:color w:val="000000"/>
        </w:rPr>
        <w:t>, Romain Coppée</w:t>
      </w:r>
      <w:r w:rsidRPr="00E45C3D">
        <w:rPr>
          <w:rFonts w:ascii="Calibri" w:hAnsi="Calibri" w:cs="Calibri"/>
          <w:color w:val="000000"/>
          <w:vertAlign w:val="superscript"/>
        </w:rPr>
        <w:t>2</w:t>
      </w:r>
      <w:r w:rsidRPr="00E45C3D">
        <w:rPr>
          <w:rFonts w:ascii="Calibri" w:hAnsi="Calibri" w:cs="Calibri"/>
          <w:color w:val="000000"/>
        </w:rPr>
        <w:t>, Katharina Ehrhardt</w:t>
      </w:r>
      <w:r w:rsidRPr="00E45C3D">
        <w:rPr>
          <w:rFonts w:ascii="Calibri" w:hAnsi="Calibri" w:cs="Calibri"/>
          <w:color w:val="000000"/>
          <w:vertAlign w:val="superscript"/>
        </w:rPr>
        <w:t>1</w:t>
      </w:r>
      <w:r w:rsidRPr="00E45C3D">
        <w:rPr>
          <w:rFonts w:ascii="Calibri" w:hAnsi="Calibri" w:cs="Calibri"/>
          <w:color w:val="000000"/>
        </w:rPr>
        <w:t>, Rodrigue Keumoe</w:t>
      </w:r>
      <w:r w:rsidRPr="00E45C3D">
        <w:rPr>
          <w:rFonts w:ascii="Calibri" w:hAnsi="Calibri" w:cs="Calibri"/>
          <w:color w:val="000000"/>
          <w:vertAlign w:val="superscript"/>
        </w:rPr>
        <w:t>1</w:t>
      </w:r>
      <w:r w:rsidRPr="00E45C3D">
        <w:rPr>
          <w:rFonts w:ascii="Calibri" w:hAnsi="Calibri" w:cs="Calibri"/>
          <w:color w:val="000000"/>
        </w:rPr>
        <w:t>, Diana Roman</w:t>
      </w:r>
      <w:r w:rsidRPr="00E45C3D">
        <w:rPr>
          <w:rFonts w:ascii="Calibri" w:hAnsi="Calibri" w:cs="Calibri"/>
          <w:color w:val="000000"/>
          <w:vertAlign w:val="superscript"/>
        </w:rPr>
        <w:t>2</w:t>
      </w:r>
      <w:r w:rsidRPr="00E45C3D">
        <w:rPr>
          <w:rFonts w:ascii="Calibri" w:hAnsi="Calibri" w:cs="Calibri"/>
          <w:color w:val="000000"/>
        </w:rPr>
        <w:t>, Romain Duval</w:t>
      </w:r>
      <w:r w:rsidRPr="00E45C3D">
        <w:rPr>
          <w:rFonts w:ascii="Calibri" w:hAnsi="Calibri" w:cs="Calibri"/>
          <w:color w:val="000000"/>
          <w:vertAlign w:val="superscript"/>
        </w:rPr>
        <w:t>2</w:t>
      </w:r>
      <w:r w:rsidRPr="00E45C3D">
        <w:rPr>
          <w:rFonts w:ascii="Calibri" w:hAnsi="Calibri" w:cs="Calibri"/>
          <w:color w:val="000000"/>
        </w:rPr>
        <w:t>, Michael Lanzer</w:t>
      </w:r>
      <w:r w:rsidRPr="00E45C3D">
        <w:rPr>
          <w:rFonts w:ascii="Calibri" w:hAnsi="Calibri" w:cs="Calibri"/>
          <w:color w:val="000000"/>
          <w:vertAlign w:val="superscript"/>
        </w:rPr>
        <w:t>3</w:t>
      </w:r>
      <w:r w:rsidRPr="00E45C3D">
        <w:rPr>
          <w:rFonts w:ascii="Calibri" w:hAnsi="Calibri" w:cs="Calibri"/>
          <w:color w:val="000000"/>
        </w:rPr>
        <w:t>, Elisabeth Davioud-Charvet</w:t>
      </w:r>
      <w:r w:rsidRPr="00E45C3D">
        <w:rPr>
          <w:rFonts w:ascii="Calibri" w:hAnsi="Calibri" w:cs="Calibri"/>
          <w:color w:val="000000"/>
          <w:vertAlign w:val="superscript"/>
        </w:rPr>
        <w:t>4</w:t>
      </w:r>
      <w:r w:rsidRPr="00E45C3D">
        <w:rPr>
          <w:rFonts w:ascii="Calibri" w:hAnsi="Calibri" w:cs="Calibri"/>
          <w:color w:val="000000"/>
        </w:rPr>
        <w:t>, Brigitte Meunier</w:t>
      </w:r>
      <w:r w:rsidRPr="00E45C3D">
        <w:rPr>
          <w:rFonts w:ascii="Calibri" w:hAnsi="Calibri" w:cs="Calibri"/>
          <w:color w:val="000000"/>
          <w:vertAlign w:val="superscript"/>
        </w:rPr>
        <w:t>5</w:t>
      </w:r>
      <w:r w:rsidRPr="00E45C3D">
        <w:rPr>
          <w:rFonts w:ascii="Calibri" w:hAnsi="Calibri" w:cs="Calibri"/>
          <w:color w:val="000000"/>
        </w:rPr>
        <w:t>, Jerome Clain</w:t>
      </w:r>
      <w:r w:rsidRPr="00E45C3D">
        <w:rPr>
          <w:rFonts w:ascii="Calibri" w:hAnsi="Calibri" w:cs="Calibri"/>
          <w:color w:val="000000"/>
          <w:vertAlign w:val="superscript"/>
        </w:rPr>
        <w:t>2</w:t>
      </w:r>
      <w:r w:rsidRPr="00E45C3D">
        <w:rPr>
          <w:rFonts w:ascii="Calibri" w:hAnsi="Calibri" w:cs="Calibri"/>
          <w:color w:val="000000"/>
        </w:rPr>
        <w:t xml:space="preserve">, </w:t>
      </w:r>
      <w:r w:rsidRPr="00E45C3D">
        <w:rPr>
          <w:rFonts w:ascii="Calibri" w:hAnsi="Calibri" w:cs="Calibri"/>
          <w:color w:val="000000"/>
          <w:u w:val="single"/>
        </w:rPr>
        <w:t>Stephanie A. Blandin</w:t>
      </w:r>
      <w:r w:rsidRPr="00E45C3D">
        <w:rPr>
          <w:rFonts w:ascii="Calibri" w:hAnsi="Calibri" w:cs="Calibri"/>
          <w:color w:val="000000"/>
          <w:u w:val="single"/>
          <w:vertAlign w:val="superscript"/>
        </w:rPr>
        <w:t>1</w:t>
      </w:r>
      <w:r w:rsidRPr="00E45C3D">
        <w:rPr>
          <w:rFonts w:ascii="Calibri" w:hAnsi="Calibri" w:cs="Calibri"/>
          <w:color w:val="000000"/>
          <w:vertAlign w:val="superscript"/>
        </w:rPr>
        <w:t xml:space="preserve"> </w:t>
      </w:r>
      <w:r w:rsidRPr="00E45C3D">
        <w:rPr>
          <w:rFonts w:ascii="Calibri" w:hAnsi="Calibri" w:cs="Calibri"/>
          <w:color w:val="000000"/>
        </w:rPr>
        <w:t xml:space="preserve"> </w:t>
      </w:r>
    </w:p>
    <w:p w14:paraId="509E3137" w14:textId="77777777" w:rsidR="00685EA5" w:rsidRPr="00B82C29" w:rsidRDefault="00685EA5" w:rsidP="00685EA5">
      <w:pPr>
        <w:jc w:val="center"/>
        <w:rPr>
          <w:rFonts w:asciiTheme="minorHAnsi" w:hAnsiTheme="minorHAnsi" w:cstheme="minorHAnsi"/>
          <w:color w:val="000000"/>
          <w:sz w:val="22"/>
          <w:szCs w:val="22"/>
          <w:lang w:val="en-GB"/>
        </w:rPr>
      </w:pPr>
      <w:r w:rsidRPr="00B82C29">
        <w:rPr>
          <w:rFonts w:asciiTheme="minorHAnsi" w:hAnsiTheme="minorHAnsi" w:cstheme="minorHAnsi"/>
          <w:color w:val="000000"/>
          <w:sz w:val="22"/>
          <w:szCs w:val="22"/>
          <w:vertAlign w:val="superscript"/>
          <w:lang w:val="en-GB"/>
        </w:rPr>
        <w:t xml:space="preserve">1 </w:t>
      </w:r>
      <w:r w:rsidRPr="00B82C29">
        <w:rPr>
          <w:rFonts w:asciiTheme="minorHAnsi" w:hAnsiTheme="minorHAnsi" w:cstheme="minorHAnsi"/>
          <w:color w:val="000000"/>
          <w:sz w:val="22"/>
          <w:szCs w:val="22"/>
          <w:lang w:val="en-GB"/>
        </w:rPr>
        <w:t xml:space="preserve">Inserm U1257, CNRS UPR9022, University of Strasbourg, IBMC, Strasbourg, France; </w:t>
      </w:r>
      <w:r w:rsidRPr="00B82C29">
        <w:rPr>
          <w:rFonts w:asciiTheme="minorHAnsi" w:hAnsiTheme="minorHAnsi" w:cstheme="minorHAnsi"/>
          <w:color w:val="000000"/>
          <w:sz w:val="22"/>
          <w:szCs w:val="22"/>
          <w:vertAlign w:val="superscript"/>
          <w:lang w:val="en-GB"/>
        </w:rPr>
        <w:t xml:space="preserve">2 </w:t>
      </w:r>
      <w:r w:rsidRPr="00B82C29">
        <w:rPr>
          <w:rFonts w:asciiTheme="minorHAnsi" w:hAnsiTheme="minorHAnsi" w:cstheme="minorHAnsi"/>
          <w:color w:val="000000"/>
          <w:sz w:val="22"/>
          <w:szCs w:val="22"/>
          <w:lang w:val="fr-FR"/>
        </w:rPr>
        <w:t>Université de Paris, IRD, UMR 261 MERIT, Paris, France</w:t>
      </w:r>
      <w:r w:rsidRPr="00B82C29">
        <w:rPr>
          <w:rFonts w:asciiTheme="minorHAnsi" w:hAnsiTheme="minorHAnsi" w:cstheme="minorHAnsi"/>
          <w:color w:val="000000"/>
          <w:sz w:val="22"/>
          <w:szCs w:val="22"/>
          <w:lang w:val="en-GB"/>
        </w:rPr>
        <w:t xml:space="preserve">; </w:t>
      </w:r>
      <w:r w:rsidRPr="00B82C29">
        <w:rPr>
          <w:rFonts w:asciiTheme="minorHAnsi" w:hAnsiTheme="minorHAnsi" w:cstheme="minorHAnsi"/>
          <w:color w:val="000000"/>
          <w:sz w:val="22"/>
          <w:szCs w:val="22"/>
          <w:vertAlign w:val="superscript"/>
          <w:lang w:val="en-GB"/>
        </w:rPr>
        <w:t>3</w:t>
      </w:r>
      <w:r w:rsidRPr="00B82C29">
        <w:rPr>
          <w:rFonts w:asciiTheme="minorHAnsi" w:hAnsiTheme="minorHAnsi" w:cstheme="minorHAnsi"/>
          <w:color w:val="000000"/>
          <w:sz w:val="22"/>
          <w:szCs w:val="22"/>
          <w:lang w:val="en-GB"/>
        </w:rPr>
        <w:t xml:space="preserve"> </w:t>
      </w:r>
      <w:r w:rsidRPr="00B82C29">
        <w:rPr>
          <w:rFonts w:asciiTheme="minorHAnsi" w:hAnsiTheme="minorHAnsi" w:cstheme="minorHAnsi"/>
          <w:color w:val="000000"/>
          <w:sz w:val="22"/>
          <w:szCs w:val="22"/>
        </w:rPr>
        <w:t>Center of Infectious Diseases, Parasitology, Heidelberg University, Heidelberg, Germany</w:t>
      </w:r>
      <w:r w:rsidRPr="00B82C29">
        <w:rPr>
          <w:rFonts w:asciiTheme="minorHAnsi" w:hAnsiTheme="minorHAnsi" w:cstheme="minorHAnsi"/>
          <w:color w:val="000000"/>
          <w:sz w:val="22"/>
          <w:szCs w:val="22"/>
          <w:lang w:val="en-GB"/>
        </w:rPr>
        <w:t xml:space="preserve">; </w:t>
      </w:r>
      <w:r w:rsidRPr="00B82C29">
        <w:rPr>
          <w:rFonts w:asciiTheme="minorHAnsi" w:hAnsiTheme="minorHAnsi" w:cstheme="minorHAnsi"/>
          <w:color w:val="000000"/>
          <w:sz w:val="22"/>
          <w:szCs w:val="22"/>
          <w:vertAlign w:val="superscript"/>
          <w:lang w:val="en-GB"/>
        </w:rPr>
        <w:t>4</w:t>
      </w:r>
      <w:r w:rsidRPr="00B82C29">
        <w:rPr>
          <w:rFonts w:asciiTheme="minorHAnsi" w:hAnsiTheme="minorHAnsi" w:cstheme="minorHAnsi"/>
          <w:color w:val="000000"/>
          <w:sz w:val="22"/>
          <w:szCs w:val="22"/>
          <w:lang w:val="en-GB"/>
        </w:rPr>
        <w:t xml:space="preserve"> CNRS, Université de Strasbourg, Université de Haute-Alsace, LIMA, Strasbourg, France; </w:t>
      </w:r>
      <w:r w:rsidRPr="00B82C29">
        <w:rPr>
          <w:rFonts w:asciiTheme="minorHAnsi" w:hAnsiTheme="minorHAnsi" w:cstheme="minorHAnsi"/>
          <w:color w:val="000000"/>
          <w:sz w:val="22"/>
          <w:szCs w:val="22"/>
          <w:vertAlign w:val="superscript"/>
          <w:lang w:val="en-GB"/>
        </w:rPr>
        <w:t>5</w:t>
      </w:r>
      <w:r w:rsidRPr="00B82C29">
        <w:rPr>
          <w:rFonts w:asciiTheme="minorHAnsi" w:hAnsiTheme="minorHAnsi" w:cstheme="minorHAnsi"/>
          <w:color w:val="000000"/>
          <w:sz w:val="22"/>
          <w:szCs w:val="22"/>
          <w:lang w:val="en-GB"/>
        </w:rPr>
        <w:t xml:space="preserve"> </w:t>
      </w:r>
      <w:r w:rsidRPr="00B82C29">
        <w:rPr>
          <w:rFonts w:asciiTheme="minorHAnsi" w:hAnsiTheme="minorHAnsi" w:cstheme="minorHAnsi"/>
          <w:color w:val="000000"/>
          <w:sz w:val="22"/>
          <w:szCs w:val="22"/>
        </w:rPr>
        <w:t>Université Paris-Saclay, CEA, CNRS, Institute for Integrative Biology of the Cell (I2BC), Gif-sur-Yvette, France</w:t>
      </w:r>
    </w:p>
    <w:p w14:paraId="5FD2E9D7" w14:textId="77777777" w:rsidR="00685EA5" w:rsidRPr="00C936AB" w:rsidRDefault="00685EA5" w:rsidP="00685EA5">
      <w:pPr>
        <w:jc w:val="center"/>
        <w:rPr>
          <w:rFonts w:ascii="Calibri" w:hAnsi="Calibri" w:cs="Calibri"/>
          <w:color w:val="000000"/>
          <w:sz w:val="22"/>
          <w:szCs w:val="22"/>
          <w:lang w:val="fr-FR"/>
        </w:rPr>
      </w:pPr>
      <w:r w:rsidRPr="00B82C29">
        <w:rPr>
          <w:rFonts w:asciiTheme="minorHAnsi" w:hAnsiTheme="minorHAnsi" w:cstheme="minorHAnsi"/>
          <w:color w:val="000000"/>
          <w:sz w:val="22"/>
          <w:szCs w:val="22"/>
          <w:lang w:val="fr-FR"/>
        </w:rPr>
        <w:t xml:space="preserve">e-mail: </w:t>
      </w:r>
      <w:hyperlink r:id="rId28" w:history="1">
        <w:r w:rsidRPr="00B82C29">
          <w:rPr>
            <w:rStyle w:val="Hyperlink"/>
            <w:rFonts w:asciiTheme="minorHAnsi" w:hAnsiTheme="minorHAnsi" w:cstheme="minorHAnsi"/>
            <w:sz w:val="22"/>
            <w:szCs w:val="22"/>
            <w:lang w:val="fr-FR"/>
          </w:rPr>
          <w:t>sblandin@unistra.fr</w:t>
        </w:r>
      </w:hyperlink>
      <w:r w:rsidRPr="00C936AB">
        <w:rPr>
          <w:rFonts w:ascii="Calibri" w:hAnsi="Calibri" w:cs="Calibri"/>
          <w:color w:val="000000"/>
          <w:sz w:val="22"/>
          <w:szCs w:val="22"/>
          <w:lang w:val="fr-FR"/>
        </w:rPr>
        <w:t xml:space="preserve"> </w:t>
      </w:r>
    </w:p>
    <w:p w14:paraId="3961B54C" w14:textId="77777777" w:rsidR="00685EA5" w:rsidRPr="00C936AB" w:rsidRDefault="00685EA5" w:rsidP="00685EA5">
      <w:pPr>
        <w:jc w:val="center"/>
        <w:rPr>
          <w:rFonts w:ascii="Calibri" w:hAnsi="Calibri" w:cs="Calibri"/>
          <w:sz w:val="22"/>
          <w:szCs w:val="22"/>
          <w:lang w:val="fr-FR"/>
        </w:rPr>
      </w:pPr>
    </w:p>
    <w:p w14:paraId="4F292DC2" w14:textId="77777777" w:rsidR="00685EA5" w:rsidRPr="00B82C29" w:rsidRDefault="00685EA5" w:rsidP="00685EA5">
      <w:pPr>
        <w:jc w:val="both"/>
        <w:rPr>
          <w:rFonts w:ascii="Calibri" w:hAnsi="Calibri" w:cs="Calibri"/>
        </w:rPr>
      </w:pPr>
      <w:r w:rsidRPr="00B82C29">
        <w:rPr>
          <w:rFonts w:ascii="Calibri" w:hAnsi="Calibri" w:cs="Calibri"/>
        </w:rPr>
        <w:t>Plasmodione and several derivatives of the 3-benzylmenadione (bMD) family, have strong</w:t>
      </w:r>
      <w:r w:rsidRPr="00B82C29">
        <w:rPr>
          <w:rFonts w:ascii="Calibri" w:hAnsi="Calibri" w:cs="Calibri"/>
          <w:lang w:eastAsia="it-IT"/>
        </w:rPr>
        <w:t xml:space="preserve"> antimalarial activity at low nanomolar concentrations, against both asexual and sexual forms of </w:t>
      </w:r>
      <w:r w:rsidRPr="00B82C29">
        <w:rPr>
          <w:rFonts w:ascii="Calibri" w:hAnsi="Calibri" w:cs="Calibri"/>
          <w:i/>
          <w:iCs/>
          <w:lang w:eastAsia="it-IT"/>
        </w:rPr>
        <w:t>Plasmodium</w:t>
      </w:r>
      <w:r w:rsidRPr="00B82C29">
        <w:rPr>
          <w:rFonts w:ascii="Calibri" w:hAnsi="Calibri" w:cs="Calibri"/>
          <w:lang w:eastAsia="it-IT"/>
        </w:rPr>
        <w:t xml:space="preserve"> parasites</w:t>
      </w:r>
      <w:r w:rsidRPr="00B82C29">
        <w:rPr>
          <w:rFonts w:ascii="Calibri" w:hAnsi="Calibri" w:cs="Calibri"/>
        </w:rPr>
        <w:t xml:space="preserve">. Hence, they have both curative and transmission-blocking properties. Its mode of action is based on the redox cycling of bMD metabolites with flavoenzymes in infected red blood cells (iRBCs), depleting parasites from NA(D)PH and producing oxidative stress, and ultimately leading to parasite death. Using drug-adapted parasites, we identified three independent mutations in the same domain of the NADH dehydrogenase PfNDH2. We validated the role of PfNDH2 in bMD mode of action using both genetically modified </w:t>
      </w:r>
      <w:r w:rsidRPr="00B82C29">
        <w:rPr>
          <w:rFonts w:ascii="Calibri" w:hAnsi="Calibri" w:cs="Calibri"/>
          <w:i/>
          <w:iCs/>
        </w:rPr>
        <w:t>Plasmodium</w:t>
      </w:r>
      <w:r w:rsidRPr="00B82C29">
        <w:rPr>
          <w:rFonts w:ascii="Calibri" w:hAnsi="Calibri" w:cs="Calibri"/>
        </w:rPr>
        <w:t xml:space="preserve"> parasites and yeast as a model. These data will be discussed during the presentation.</w:t>
      </w:r>
    </w:p>
    <w:p w14:paraId="79CD5127" w14:textId="3E697CA3" w:rsidR="00685EA5" w:rsidRDefault="00685EA5">
      <w:pPr>
        <w:rPr>
          <w:rFonts w:ascii="Calibri" w:hAnsi="Calibri" w:cs="Calibri"/>
        </w:rPr>
      </w:pPr>
      <w:r>
        <w:rPr>
          <w:rFonts w:ascii="Calibri" w:hAnsi="Calibri" w:cs="Calibri"/>
        </w:rPr>
        <w:br w:type="page"/>
      </w:r>
    </w:p>
    <w:p w14:paraId="484B994D" w14:textId="77777777" w:rsidR="00E45C3D" w:rsidRDefault="00E45C3D" w:rsidP="00E45C3D">
      <w:pPr>
        <w:spacing w:line="264" w:lineRule="auto"/>
        <w:jc w:val="center"/>
        <w:rPr>
          <w:rFonts w:ascii="Calibri" w:hAnsi="Calibri" w:cs="Calibri"/>
          <w:color w:val="000000" w:themeColor="text1"/>
        </w:rPr>
      </w:pPr>
    </w:p>
    <w:p w14:paraId="45ABADC6" w14:textId="77777777" w:rsidR="00E45C3D" w:rsidRPr="00E45C3D" w:rsidRDefault="00E45C3D" w:rsidP="00E45C3D">
      <w:pPr>
        <w:spacing w:line="360" w:lineRule="auto"/>
        <w:jc w:val="center"/>
        <w:rPr>
          <w:rFonts w:ascii="Calibri" w:hAnsi="Calibri" w:cs="Calibri"/>
          <w:b/>
          <w:color w:val="006699"/>
          <w:lang w:val="en-GB"/>
        </w:rPr>
      </w:pPr>
      <w:r w:rsidRPr="00E45C3D">
        <w:rPr>
          <w:rFonts w:ascii="Calibri" w:hAnsi="Calibri" w:cs="Calibri"/>
          <w:b/>
          <w:color w:val="006699"/>
          <w:lang w:val="en-GB"/>
        </w:rPr>
        <w:t>Π-Π stacking stabilized polymeric micelles for hydrophobic drug delivery in</w:t>
      </w:r>
    </w:p>
    <w:p w14:paraId="6636527A" w14:textId="77777777" w:rsidR="00E45C3D" w:rsidRPr="00E45C3D" w:rsidRDefault="00E45C3D" w:rsidP="00E45C3D">
      <w:pPr>
        <w:spacing w:line="360" w:lineRule="auto"/>
        <w:jc w:val="center"/>
        <w:rPr>
          <w:rFonts w:ascii="Calibri" w:hAnsi="Calibri" w:cs="Calibri"/>
          <w:b/>
          <w:color w:val="006699"/>
          <w:lang w:val="en-GB"/>
        </w:rPr>
      </w:pPr>
      <w:r w:rsidRPr="00E45C3D">
        <w:rPr>
          <w:rFonts w:ascii="Calibri" w:hAnsi="Calibri" w:cs="Calibri"/>
          <w:b/>
          <w:color w:val="006699"/>
          <w:lang w:val="en-GB"/>
        </w:rPr>
        <w:t>the treatment of leishmaniasis</w:t>
      </w:r>
    </w:p>
    <w:p w14:paraId="10908360" w14:textId="77777777" w:rsidR="00E45C3D" w:rsidRPr="00E45C3D" w:rsidRDefault="00E45C3D" w:rsidP="00E45C3D">
      <w:pPr>
        <w:jc w:val="center"/>
        <w:rPr>
          <w:rFonts w:ascii="Calibri" w:hAnsi="Calibri" w:cs="Calibri"/>
        </w:rPr>
      </w:pPr>
    </w:p>
    <w:p w14:paraId="130CC4A8" w14:textId="77777777" w:rsidR="00E45C3D" w:rsidRPr="00E45C3D" w:rsidRDefault="00E45C3D" w:rsidP="00E45C3D">
      <w:pPr>
        <w:jc w:val="center"/>
        <w:rPr>
          <w:rFonts w:ascii="Calibri" w:hAnsi="Calibri" w:cs="Calibri"/>
          <w:lang w:val="pt-PT"/>
        </w:rPr>
      </w:pPr>
      <w:r w:rsidRPr="00E45C3D">
        <w:rPr>
          <w:rFonts w:ascii="Calibri" w:hAnsi="Calibri" w:cs="Calibri"/>
          <w:u w:val="single"/>
          <w:lang w:val="pt-PT"/>
        </w:rPr>
        <w:t>Gomes-Alves AG</w:t>
      </w:r>
      <w:r w:rsidRPr="00E45C3D">
        <w:rPr>
          <w:rFonts w:ascii="Calibri" w:hAnsi="Calibri" w:cs="Calibri"/>
          <w:vertAlign w:val="superscript"/>
          <w:lang w:val="pt-PT"/>
        </w:rPr>
        <w:t>1,2,3,4</w:t>
      </w:r>
      <w:r w:rsidRPr="00E45C3D">
        <w:rPr>
          <w:rFonts w:ascii="Calibri" w:hAnsi="Calibri" w:cs="Calibri"/>
          <w:lang w:val="pt-PT"/>
        </w:rPr>
        <w:t>, Varela-Moreira A.</w:t>
      </w:r>
      <w:r w:rsidRPr="00E45C3D">
        <w:rPr>
          <w:rFonts w:ascii="Calibri" w:hAnsi="Calibri" w:cs="Calibri"/>
          <w:vertAlign w:val="superscript"/>
          <w:lang w:val="pt-PT"/>
        </w:rPr>
        <w:t>1,5</w:t>
      </w:r>
      <w:r w:rsidRPr="00E45C3D">
        <w:rPr>
          <w:rFonts w:ascii="Calibri" w:hAnsi="Calibri" w:cs="Calibri"/>
          <w:lang w:val="pt-PT"/>
        </w:rPr>
        <w:t>, Cruz T.</w:t>
      </w:r>
      <w:r w:rsidRPr="00E45C3D">
        <w:rPr>
          <w:rFonts w:ascii="Calibri" w:hAnsi="Calibri" w:cs="Calibri"/>
          <w:vertAlign w:val="superscript"/>
          <w:lang w:val="pt-PT"/>
        </w:rPr>
        <w:t>2,3</w:t>
      </w:r>
      <w:r w:rsidRPr="00E45C3D">
        <w:rPr>
          <w:rFonts w:ascii="Calibri" w:hAnsi="Calibri" w:cs="Calibri"/>
          <w:lang w:val="pt-PT"/>
        </w:rPr>
        <w:t>, Duarte M.</w:t>
      </w:r>
      <w:r w:rsidRPr="00E45C3D">
        <w:rPr>
          <w:rFonts w:ascii="Calibri" w:hAnsi="Calibri" w:cs="Calibri"/>
          <w:vertAlign w:val="superscript"/>
          <w:lang w:val="pt-PT"/>
        </w:rPr>
        <w:t>2,3</w:t>
      </w:r>
      <w:r w:rsidRPr="00E45C3D">
        <w:rPr>
          <w:rFonts w:ascii="Calibri" w:hAnsi="Calibri" w:cs="Calibri"/>
          <w:lang w:val="pt-PT"/>
        </w:rPr>
        <w:t>, te Welscher Y.</w:t>
      </w:r>
      <w:r w:rsidRPr="00E45C3D">
        <w:rPr>
          <w:rFonts w:ascii="Calibri" w:hAnsi="Calibri" w:cs="Calibri"/>
          <w:vertAlign w:val="superscript"/>
          <w:lang w:val="pt-PT"/>
        </w:rPr>
        <w:t>1</w:t>
      </w:r>
      <w:r w:rsidRPr="00E45C3D">
        <w:rPr>
          <w:rFonts w:ascii="Calibri" w:hAnsi="Calibri" w:cs="Calibri"/>
          <w:lang w:val="pt-PT"/>
        </w:rPr>
        <w:t>, Castro H.</w:t>
      </w:r>
      <w:r w:rsidRPr="00E45C3D">
        <w:rPr>
          <w:rFonts w:ascii="Calibri" w:hAnsi="Calibri" w:cs="Calibri"/>
          <w:vertAlign w:val="superscript"/>
          <w:lang w:val="pt-PT"/>
        </w:rPr>
        <w:t>2,3</w:t>
      </w:r>
      <w:r w:rsidRPr="00E45C3D">
        <w:rPr>
          <w:rFonts w:ascii="Calibri" w:hAnsi="Calibri" w:cs="Calibri"/>
          <w:lang w:val="pt-PT"/>
        </w:rPr>
        <w:t>, Moreira R.</w:t>
      </w:r>
      <w:r w:rsidRPr="00E45C3D">
        <w:rPr>
          <w:rFonts w:ascii="Calibri" w:hAnsi="Calibri" w:cs="Calibri"/>
          <w:vertAlign w:val="superscript"/>
          <w:lang w:val="pt-PT"/>
        </w:rPr>
        <w:t>6</w:t>
      </w:r>
      <w:r w:rsidRPr="00E45C3D">
        <w:rPr>
          <w:rFonts w:ascii="Calibri" w:hAnsi="Calibri" w:cs="Calibri"/>
          <w:lang w:val="pt-PT"/>
        </w:rPr>
        <w:t>, Ressurreição AS</w:t>
      </w:r>
      <w:r w:rsidRPr="00E45C3D">
        <w:rPr>
          <w:rFonts w:ascii="Calibri" w:hAnsi="Calibri" w:cs="Calibri"/>
          <w:vertAlign w:val="superscript"/>
          <w:lang w:val="pt-PT"/>
        </w:rPr>
        <w:t>6</w:t>
      </w:r>
      <w:r w:rsidRPr="00E45C3D">
        <w:rPr>
          <w:rFonts w:ascii="Calibri" w:hAnsi="Calibri" w:cs="Calibri"/>
          <w:lang w:val="pt-PT"/>
        </w:rPr>
        <w:t>, Hennink WE</w:t>
      </w:r>
      <w:r w:rsidRPr="00E45C3D">
        <w:rPr>
          <w:rFonts w:ascii="Calibri" w:hAnsi="Calibri" w:cs="Calibri"/>
          <w:vertAlign w:val="superscript"/>
          <w:lang w:val="pt-PT"/>
        </w:rPr>
        <w:t>1</w:t>
      </w:r>
      <w:r w:rsidRPr="00E45C3D">
        <w:rPr>
          <w:rFonts w:ascii="Calibri" w:hAnsi="Calibri" w:cs="Calibri"/>
          <w:lang w:val="pt-PT"/>
        </w:rPr>
        <w:t>, Storm G.</w:t>
      </w:r>
      <w:r w:rsidRPr="00E45C3D">
        <w:rPr>
          <w:rFonts w:ascii="Calibri" w:hAnsi="Calibri" w:cs="Calibri"/>
          <w:vertAlign w:val="superscript"/>
          <w:lang w:val="pt-PT"/>
        </w:rPr>
        <w:t>1,7</w:t>
      </w:r>
      <w:r w:rsidRPr="00E45C3D">
        <w:rPr>
          <w:rFonts w:ascii="Calibri" w:hAnsi="Calibri" w:cs="Calibri"/>
          <w:lang w:val="pt-PT"/>
        </w:rPr>
        <w:t xml:space="preserve"> Tomás AM</w:t>
      </w:r>
      <w:r w:rsidRPr="00E45C3D">
        <w:rPr>
          <w:rFonts w:ascii="Calibri" w:hAnsi="Calibri" w:cs="Calibri"/>
          <w:vertAlign w:val="superscript"/>
          <w:lang w:val="pt-PT"/>
        </w:rPr>
        <w:t>2,3,8</w:t>
      </w:r>
    </w:p>
    <w:p w14:paraId="6BE11F25" w14:textId="77777777" w:rsidR="00E45C3D" w:rsidRPr="00E45C3D" w:rsidRDefault="00E45C3D" w:rsidP="00E45C3D">
      <w:pPr>
        <w:jc w:val="center"/>
        <w:rPr>
          <w:rFonts w:ascii="Calibri" w:hAnsi="Calibri" w:cs="Calibri"/>
          <w:lang w:val="pt-PT"/>
        </w:rPr>
      </w:pPr>
    </w:p>
    <w:p w14:paraId="3674BE89" w14:textId="77777777" w:rsidR="00E45C3D" w:rsidRPr="00B82C29" w:rsidRDefault="00E45C3D" w:rsidP="00E45C3D">
      <w:pPr>
        <w:jc w:val="center"/>
        <w:rPr>
          <w:rFonts w:ascii="Calibri" w:hAnsi="Calibri" w:cs="Calibri"/>
          <w:sz w:val="22"/>
          <w:szCs w:val="22"/>
          <w:lang w:val="pt-PT"/>
        </w:rPr>
      </w:pPr>
      <w:r w:rsidRPr="00B82C29">
        <w:rPr>
          <w:rFonts w:ascii="Calibri" w:hAnsi="Calibri" w:cs="Calibri"/>
          <w:sz w:val="22"/>
          <w:szCs w:val="22"/>
          <w:vertAlign w:val="superscript"/>
          <w:lang w:val="pt-PT"/>
        </w:rPr>
        <w:t>1.</w:t>
      </w:r>
      <w:r w:rsidRPr="00B82C29">
        <w:rPr>
          <w:rFonts w:ascii="Calibri" w:hAnsi="Calibri" w:cs="Calibri"/>
          <w:sz w:val="22"/>
          <w:szCs w:val="22"/>
          <w:lang w:val="pt-PT"/>
        </w:rPr>
        <w:t xml:space="preserve">Department of Pharmaceutics, Utrecht Institute for Pharmaceutical Sciences (UIPS), Utrecht University, Utrecht, The Netherlands, </w:t>
      </w:r>
      <w:r w:rsidRPr="00B82C29">
        <w:rPr>
          <w:rFonts w:ascii="Calibri" w:hAnsi="Calibri" w:cs="Calibri"/>
          <w:sz w:val="22"/>
          <w:szCs w:val="22"/>
          <w:vertAlign w:val="superscript"/>
          <w:lang w:val="pt-PT"/>
        </w:rPr>
        <w:t>2.</w:t>
      </w:r>
      <w:r w:rsidRPr="00B82C29">
        <w:rPr>
          <w:rFonts w:ascii="Calibri" w:hAnsi="Calibri" w:cs="Calibri"/>
          <w:sz w:val="22"/>
          <w:szCs w:val="22"/>
          <w:lang w:val="pt-PT"/>
        </w:rPr>
        <w:t xml:space="preserve">i3S – Instituto de Investigação e Inovação em Saúde, Universidade do Porto, Porto, Portugal, </w:t>
      </w:r>
      <w:r w:rsidRPr="00B82C29">
        <w:rPr>
          <w:rFonts w:ascii="Calibri" w:hAnsi="Calibri" w:cs="Calibri"/>
          <w:sz w:val="22"/>
          <w:szCs w:val="22"/>
          <w:vertAlign w:val="superscript"/>
          <w:lang w:val="pt-PT"/>
        </w:rPr>
        <w:t>3.</w:t>
      </w:r>
      <w:r w:rsidRPr="00B82C29">
        <w:rPr>
          <w:rFonts w:ascii="Calibri" w:hAnsi="Calibri" w:cs="Calibri"/>
          <w:sz w:val="22"/>
          <w:szCs w:val="22"/>
          <w:lang w:val="pt-PT"/>
        </w:rPr>
        <w:t xml:space="preserve">IBMC – Instituto de Biologia Molecular e Celular, Universidade do Porto, Porto, Portugal, </w:t>
      </w:r>
      <w:r w:rsidRPr="00B82C29">
        <w:rPr>
          <w:rFonts w:ascii="Calibri" w:hAnsi="Calibri" w:cs="Calibri"/>
          <w:sz w:val="22"/>
          <w:szCs w:val="22"/>
          <w:vertAlign w:val="superscript"/>
          <w:lang w:val="pt-PT"/>
        </w:rPr>
        <w:t>4.</w:t>
      </w:r>
      <w:r w:rsidRPr="00B82C29">
        <w:rPr>
          <w:rFonts w:ascii="Calibri" w:hAnsi="Calibri" w:cs="Calibri"/>
          <w:sz w:val="22"/>
          <w:szCs w:val="22"/>
          <w:lang w:val="pt-PT"/>
        </w:rPr>
        <w:t xml:space="preserve">CEB – Centro de Engenharia Biológica, Universidade do Minho, Braga, Portugal, </w:t>
      </w:r>
      <w:r w:rsidRPr="00B82C29">
        <w:rPr>
          <w:rFonts w:ascii="Calibri" w:hAnsi="Calibri" w:cs="Calibri"/>
          <w:sz w:val="22"/>
          <w:szCs w:val="22"/>
          <w:vertAlign w:val="superscript"/>
          <w:lang w:val="pt-PT"/>
        </w:rPr>
        <w:t>5.</w:t>
      </w:r>
      <w:r w:rsidRPr="00B82C29">
        <w:rPr>
          <w:rFonts w:ascii="Calibri" w:hAnsi="Calibri" w:cs="Calibri"/>
          <w:sz w:val="22"/>
          <w:szCs w:val="22"/>
          <w:lang w:val="pt-PT"/>
        </w:rPr>
        <w:t xml:space="preserve">Department of Clinical Chemistry and Haematology, University Medical Centre Utrecht, The Netherlands, </w:t>
      </w:r>
      <w:r w:rsidRPr="00B82C29">
        <w:rPr>
          <w:rFonts w:ascii="Calibri" w:hAnsi="Calibri" w:cs="Calibri"/>
          <w:sz w:val="22"/>
          <w:szCs w:val="22"/>
          <w:vertAlign w:val="superscript"/>
          <w:lang w:val="pt-PT"/>
        </w:rPr>
        <w:t>6.</w:t>
      </w:r>
      <w:r w:rsidRPr="00B82C29">
        <w:rPr>
          <w:rFonts w:ascii="Calibri" w:hAnsi="Calibri" w:cs="Calibri"/>
          <w:sz w:val="22"/>
          <w:szCs w:val="22"/>
          <w:lang w:val="pt-PT"/>
        </w:rPr>
        <w:t xml:space="preserve">Research Institute for Medicines (iMed.ULisboa), Faculty of Pharmacy, Universidade de Lisboa, Lisboa, Portugal, </w:t>
      </w:r>
      <w:r w:rsidRPr="00B82C29">
        <w:rPr>
          <w:rFonts w:ascii="Calibri" w:hAnsi="Calibri" w:cs="Calibri"/>
          <w:sz w:val="22"/>
          <w:szCs w:val="22"/>
          <w:vertAlign w:val="superscript"/>
          <w:lang w:val="pt-PT"/>
        </w:rPr>
        <w:t>7.</w:t>
      </w:r>
      <w:r w:rsidRPr="00B82C29">
        <w:rPr>
          <w:rFonts w:ascii="Calibri" w:hAnsi="Calibri" w:cs="Calibri"/>
          <w:sz w:val="22"/>
          <w:szCs w:val="22"/>
          <w:lang w:val="pt-PT"/>
        </w:rPr>
        <w:t xml:space="preserve">Department of Targeted Therapeutics, MIRA Institute for Biomedical Technology and Technical Medicine, University of Twente, Enschede, The Netherlands, </w:t>
      </w:r>
      <w:r w:rsidRPr="00B82C29">
        <w:rPr>
          <w:rFonts w:ascii="Calibri" w:hAnsi="Calibri" w:cs="Calibri"/>
          <w:sz w:val="22"/>
          <w:szCs w:val="22"/>
          <w:vertAlign w:val="superscript"/>
          <w:lang w:val="pt-PT"/>
        </w:rPr>
        <w:t>8.</w:t>
      </w:r>
      <w:r w:rsidRPr="00B82C29">
        <w:rPr>
          <w:rFonts w:ascii="Calibri" w:hAnsi="Calibri" w:cs="Calibri"/>
          <w:sz w:val="22"/>
          <w:szCs w:val="22"/>
          <w:lang w:val="pt-PT"/>
        </w:rPr>
        <w:t>ICBAS – Instituto de Ciências Biomédicas Abel Salazar, Universidade do Porto, Porto, Portugal</w:t>
      </w:r>
    </w:p>
    <w:p w14:paraId="37BE5D6B" w14:textId="77777777" w:rsidR="00E45C3D" w:rsidRPr="00D63A6F" w:rsidRDefault="00E45C3D" w:rsidP="00E45C3D">
      <w:pPr>
        <w:rPr>
          <w:rFonts w:ascii="Calibri" w:hAnsi="Calibri" w:cs="Calibri"/>
          <w:sz w:val="22"/>
          <w:szCs w:val="22"/>
          <w:lang w:val="pt-PT"/>
        </w:rPr>
      </w:pPr>
    </w:p>
    <w:p w14:paraId="1D12AEEF" w14:textId="77777777" w:rsidR="00E45C3D" w:rsidRPr="00B82C29" w:rsidRDefault="00E45C3D" w:rsidP="00E45C3D">
      <w:pPr>
        <w:spacing w:line="360" w:lineRule="auto"/>
        <w:jc w:val="both"/>
        <w:rPr>
          <w:rFonts w:ascii="Calibri" w:hAnsi="Calibri" w:cs="Calibri"/>
          <w:strike/>
        </w:rPr>
      </w:pPr>
      <w:r w:rsidRPr="00B82C29">
        <w:rPr>
          <w:rFonts w:ascii="Calibri" w:hAnsi="Calibri" w:cs="Calibri"/>
        </w:rPr>
        <w:t xml:space="preserve">Current strategies to control leishmaniases – a group of diseases caused by </w:t>
      </w:r>
      <w:r w:rsidRPr="00B82C29">
        <w:rPr>
          <w:rFonts w:ascii="Calibri" w:hAnsi="Calibri" w:cs="Calibri"/>
          <w:i/>
          <w:iCs/>
        </w:rPr>
        <w:t>Leishmania</w:t>
      </w:r>
      <w:r w:rsidRPr="00B82C29">
        <w:rPr>
          <w:rFonts w:ascii="Calibri" w:hAnsi="Calibri" w:cs="Calibri"/>
        </w:rPr>
        <w:t xml:space="preserve"> parasites – rely on chemotherapy, which is associated with significant drawbacks, including severe side effects and limited efficacy. The public health impact of these diseases underscores the urgent need for new therapeutic approaches. A family of compounds, the quinoline-(1</w:t>
      </w:r>
      <w:r w:rsidRPr="00B82C29">
        <w:rPr>
          <w:rFonts w:ascii="Calibri" w:hAnsi="Calibri" w:cs="Calibri"/>
          <w:i/>
          <w:iCs/>
        </w:rPr>
        <w:t>H</w:t>
      </w:r>
      <w:r w:rsidRPr="00B82C29">
        <w:rPr>
          <w:rFonts w:ascii="Calibri" w:hAnsi="Calibri" w:cs="Calibri"/>
        </w:rPr>
        <w:t>)-imines, have emerged as promising lead compounds for antileishmanial drug development [1]. However, their poor aqueous solubility poses a significant challenge. In the present study, quinoline-(1</w:t>
      </w:r>
      <w:r w:rsidRPr="00B82C29">
        <w:rPr>
          <w:rFonts w:ascii="Calibri" w:hAnsi="Calibri" w:cs="Calibri"/>
          <w:i/>
          <w:iCs/>
        </w:rPr>
        <w:t>H</w:t>
      </w:r>
      <w:r w:rsidRPr="00B82C29">
        <w:rPr>
          <w:rFonts w:ascii="Calibri" w:hAnsi="Calibri" w:cs="Calibri"/>
        </w:rPr>
        <w:t>)-imines were encapsulated into polymeric micelles (PMs) composed of block copolymer of methoxy poly(ethylene glycol)-</w:t>
      </w:r>
      <w:r w:rsidRPr="00B82C29">
        <w:rPr>
          <w:rFonts w:ascii="Calibri" w:hAnsi="Calibri" w:cs="Calibri"/>
          <w:i/>
          <w:iCs/>
        </w:rPr>
        <w:t>b</w:t>
      </w:r>
      <w:r w:rsidRPr="00B82C29">
        <w:rPr>
          <w:rFonts w:ascii="Calibri" w:hAnsi="Calibri" w:cs="Calibri"/>
        </w:rPr>
        <w:t>-poly(N-2-benzoyloxypropyl methacrylamide) [mPEG-</w:t>
      </w:r>
      <w:r w:rsidRPr="00B82C29">
        <w:rPr>
          <w:rFonts w:ascii="Calibri" w:hAnsi="Calibri" w:cs="Calibri"/>
          <w:i/>
          <w:iCs/>
        </w:rPr>
        <w:t>b</w:t>
      </w:r>
      <w:r w:rsidRPr="00B82C29">
        <w:rPr>
          <w:rFonts w:ascii="Calibri" w:hAnsi="Calibri" w:cs="Calibri"/>
        </w:rPr>
        <w:t>-p(HPMAm-Bz)]. These PMs are known to establish noncovalent π-π stacking interactions between the aromatic rings present in the p(HPMAm-Bz) block and the drug molecules, to enhance solubility. Encapsulation of quinoline-(1</w:t>
      </w:r>
      <w:r w:rsidRPr="00B82C29">
        <w:rPr>
          <w:rFonts w:ascii="Calibri" w:hAnsi="Calibri" w:cs="Calibri"/>
          <w:i/>
          <w:iCs/>
        </w:rPr>
        <w:t>H</w:t>
      </w:r>
      <w:r w:rsidRPr="00B82C29">
        <w:rPr>
          <w:rFonts w:ascii="Calibri" w:hAnsi="Calibri" w:cs="Calibri"/>
        </w:rPr>
        <w:t xml:space="preserve">)-imines resulted in comparable efficacy to the free drugs against </w:t>
      </w:r>
      <w:r w:rsidRPr="00B82C29">
        <w:rPr>
          <w:rFonts w:ascii="Calibri" w:hAnsi="Calibri" w:cs="Calibri"/>
          <w:i/>
          <w:iCs/>
        </w:rPr>
        <w:t>Leishmania</w:t>
      </w:r>
      <w:r w:rsidRPr="00B82C29">
        <w:rPr>
          <w:rFonts w:ascii="Calibri" w:hAnsi="Calibri" w:cs="Calibri"/>
        </w:rPr>
        <w:t xml:space="preserve"> parasites, while significantly reducing toxicity toward primary </w:t>
      </w:r>
      <w:r w:rsidRPr="00B82C29">
        <w:rPr>
          <w:rFonts w:ascii="Calibri" w:hAnsi="Calibri" w:cs="Calibri"/>
        </w:rPr>
        <w:lastRenderedPageBreak/>
        <w:t xml:space="preserve">macrophages </w:t>
      </w:r>
      <w:r w:rsidRPr="00B82C29">
        <w:rPr>
          <w:rFonts w:ascii="Calibri" w:hAnsi="Calibri" w:cs="Calibri"/>
          <w:i/>
          <w:iCs/>
        </w:rPr>
        <w:t>in vitro</w:t>
      </w:r>
      <w:r w:rsidRPr="00B82C29">
        <w:rPr>
          <w:rFonts w:ascii="Calibri" w:hAnsi="Calibri" w:cs="Calibri"/>
        </w:rPr>
        <w:t>. In a murine model of visceral leishmaniasis, the micellar formulation facilitated targeted drug accumulation in organs typically affected by the disease, as the liver, spleen and bone marrow. In contrast, the free drug was undetectable or present in markedly lower concentrations after 24 hours. These findings highlight the potential of mPEG-</w:t>
      </w:r>
      <w:r w:rsidRPr="00B82C29">
        <w:rPr>
          <w:rFonts w:ascii="Calibri" w:hAnsi="Calibri" w:cs="Calibri"/>
          <w:i/>
          <w:iCs/>
        </w:rPr>
        <w:t>b</w:t>
      </w:r>
      <w:r w:rsidRPr="00B82C29">
        <w:rPr>
          <w:rFonts w:ascii="Calibri" w:hAnsi="Calibri" w:cs="Calibri"/>
        </w:rPr>
        <w:t>-p(HPMAm-Bz) micelles as effective delivery systems for quinoline-(1</w:t>
      </w:r>
      <w:r w:rsidRPr="00B82C29">
        <w:rPr>
          <w:rFonts w:ascii="Calibri" w:hAnsi="Calibri" w:cs="Calibri"/>
          <w:i/>
          <w:iCs/>
        </w:rPr>
        <w:t>H</w:t>
      </w:r>
      <w:r w:rsidRPr="00B82C29">
        <w:rPr>
          <w:rFonts w:ascii="Calibri" w:hAnsi="Calibri" w:cs="Calibri"/>
        </w:rPr>
        <w:t xml:space="preserve">)-imines and potentially other antileishmanial agents. Nevertheless, further studies are needed to optimize micellar stability and dosing regimens to fully harness their therapeutic potential. </w:t>
      </w:r>
    </w:p>
    <w:p w14:paraId="70CDD13A" w14:textId="77777777" w:rsidR="00E45C3D" w:rsidRPr="00B82C29" w:rsidRDefault="00E45C3D" w:rsidP="00E45C3D">
      <w:pPr>
        <w:spacing w:line="360" w:lineRule="auto"/>
        <w:jc w:val="both"/>
        <w:rPr>
          <w:rFonts w:ascii="Calibri" w:hAnsi="Calibri" w:cs="Calibri"/>
        </w:rPr>
      </w:pPr>
    </w:p>
    <w:p w14:paraId="22E08613" w14:textId="77777777" w:rsidR="00E45C3D" w:rsidRPr="00030AE6" w:rsidRDefault="00E45C3D" w:rsidP="00E45C3D">
      <w:pPr>
        <w:jc w:val="both"/>
        <w:rPr>
          <w:rFonts w:ascii="Calibri" w:hAnsi="Calibri" w:cs="Calibri"/>
          <w:b/>
          <w:bCs/>
          <w:sz w:val="22"/>
          <w:szCs w:val="22"/>
        </w:rPr>
      </w:pPr>
      <w:r w:rsidRPr="00030AE6">
        <w:rPr>
          <w:rFonts w:ascii="Calibri" w:hAnsi="Calibri" w:cs="Calibri"/>
          <w:b/>
          <w:bCs/>
          <w:sz w:val="22"/>
          <w:szCs w:val="22"/>
        </w:rPr>
        <w:t>References</w:t>
      </w:r>
    </w:p>
    <w:p w14:paraId="1A843EE0" w14:textId="77777777" w:rsidR="00E45C3D" w:rsidRDefault="00E45C3D" w:rsidP="00E45C3D">
      <w:pPr>
        <w:jc w:val="both"/>
        <w:rPr>
          <w:rFonts w:ascii="Calibri" w:hAnsi="Calibri" w:cs="Calibri"/>
          <w:sz w:val="22"/>
          <w:szCs w:val="22"/>
        </w:rPr>
      </w:pPr>
      <w:r w:rsidRPr="00030AE6">
        <w:rPr>
          <w:rFonts w:ascii="Calibri" w:hAnsi="Calibri" w:cs="Calibri"/>
          <w:sz w:val="22"/>
          <w:szCs w:val="22"/>
        </w:rPr>
        <w:t>1. Gomes-Alves, A.G., et al., Biological Evaluation and Mechanistic Studies of Quinolin-(1H)-Imines as a New Chemotype against Leishmaniasis. Antimicrob Agents Chemother, 2021. 65(7): p. e0151320.</w:t>
      </w:r>
    </w:p>
    <w:p w14:paraId="5E6CE526" w14:textId="77777777" w:rsidR="00E45C3D" w:rsidRDefault="00E45C3D" w:rsidP="00E45C3D">
      <w:pPr>
        <w:jc w:val="both"/>
        <w:rPr>
          <w:rFonts w:ascii="Calibri" w:hAnsi="Calibri" w:cs="Calibri"/>
          <w:sz w:val="22"/>
          <w:szCs w:val="22"/>
        </w:rPr>
      </w:pPr>
    </w:p>
    <w:p w14:paraId="129FD17A" w14:textId="77777777" w:rsidR="00E45C3D" w:rsidRDefault="00E45C3D" w:rsidP="00E45C3D">
      <w:pPr>
        <w:jc w:val="both"/>
        <w:rPr>
          <w:rFonts w:ascii="Calibri" w:hAnsi="Calibri" w:cs="Calibri"/>
          <w:b/>
          <w:bCs/>
          <w:sz w:val="22"/>
          <w:szCs w:val="22"/>
        </w:rPr>
      </w:pPr>
      <w:r w:rsidRPr="00030AE6">
        <w:rPr>
          <w:rFonts w:ascii="Calibri" w:hAnsi="Calibri" w:cs="Calibri"/>
          <w:b/>
          <w:bCs/>
          <w:sz w:val="22"/>
          <w:szCs w:val="22"/>
        </w:rPr>
        <w:t>Acknowledgment</w:t>
      </w:r>
    </w:p>
    <w:p w14:paraId="1833F3AA" w14:textId="77777777" w:rsidR="00E45C3D" w:rsidRDefault="00E45C3D" w:rsidP="00E45C3D">
      <w:pPr>
        <w:jc w:val="both"/>
        <w:rPr>
          <w:rFonts w:ascii="Calibri" w:hAnsi="Calibri" w:cs="Calibri"/>
          <w:sz w:val="22"/>
          <w:szCs w:val="22"/>
        </w:rPr>
      </w:pPr>
      <w:r w:rsidRPr="00030AE6">
        <w:rPr>
          <w:rFonts w:ascii="Calibri" w:hAnsi="Calibri" w:cs="Calibri"/>
          <w:sz w:val="22"/>
          <w:szCs w:val="22"/>
        </w:rPr>
        <w:t>This work and TC are funded by National Funds through FCT – Fundação para a Ciência e a Tecnologia under the project PTDC/QEQ-MED/7097/2014. Norte-01-0145-FEDER000012-Structured program on bioengineered therapies for infectious diseases and tissue regeneration, supported by Norte Portugal Regional Operational Programme (NORTE 2020), under the PORTUGAL 2020 Partnership Agreement, through the European Regional Development Fund (FEDER). AGGA is gratefully to FCT by her grant SFRH/BD/93766/2013, financed by POPH–QREN, subsidized by Fundo Social Europeu and Ministério da Ciência, Tecnologia e Ensino Superior. Ana S. Ressurreição is financed by the Portuguese Foundation for Science and Technology with FCT Investigator Starting (IF/01034/2014) Grant.</w:t>
      </w:r>
    </w:p>
    <w:p w14:paraId="25E76405" w14:textId="75F66BB1" w:rsidR="00B82C29" w:rsidRDefault="00B82C29">
      <w:pPr>
        <w:rPr>
          <w:rFonts w:ascii="Calibri" w:hAnsi="Calibri" w:cs="Calibri"/>
        </w:rPr>
      </w:pPr>
      <w:r>
        <w:rPr>
          <w:rFonts w:ascii="Calibri" w:hAnsi="Calibri" w:cs="Calibri"/>
        </w:rPr>
        <w:br w:type="page"/>
      </w:r>
    </w:p>
    <w:p w14:paraId="098E5433" w14:textId="77777777" w:rsidR="00E45C3D" w:rsidRDefault="00E45C3D" w:rsidP="00E45C3D">
      <w:pPr>
        <w:rPr>
          <w:rFonts w:ascii="Calibri" w:hAnsi="Calibri" w:cs="Calibri"/>
        </w:rPr>
      </w:pPr>
    </w:p>
    <w:p w14:paraId="6FDF554D" w14:textId="77777777" w:rsidR="00685EA5" w:rsidRDefault="00685EA5" w:rsidP="00685EA5">
      <w:pPr>
        <w:rPr>
          <w:rFonts w:ascii="Calibri" w:hAnsi="Calibri" w:cs="Calibri"/>
        </w:rPr>
      </w:pPr>
    </w:p>
    <w:p w14:paraId="36EE7867" w14:textId="77777777" w:rsidR="00685EA5" w:rsidRDefault="00685EA5" w:rsidP="00685EA5">
      <w:pPr>
        <w:spacing w:before="120" w:after="200"/>
        <w:jc w:val="center"/>
        <w:rPr>
          <w:rFonts w:asciiTheme="minorHAnsi" w:hAnsiTheme="minorHAnsi" w:cstheme="minorHAnsi"/>
          <w:b/>
          <w:bCs/>
          <w:color w:val="006699"/>
          <w:sz w:val="36"/>
          <w:lang w:val="en" w:eastAsia="lt-LT"/>
        </w:rPr>
      </w:pPr>
      <w:r w:rsidRPr="00685EA5">
        <w:rPr>
          <w:rFonts w:asciiTheme="minorHAnsi" w:hAnsiTheme="minorHAnsi" w:cstheme="minorHAnsi"/>
          <w:b/>
          <w:bCs/>
          <w:color w:val="006699"/>
          <w:sz w:val="36"/>
          <w:lang w:val="en" w:eastAsia="lt-LT"/>
        </w:rPr>
        <w:t>YRI presentations + STSM presentations &amp; @13:00 Awards</w:t>
      </w:r>
    </w:p>
    <w:p w14:paraId="279F0E5E" w14:textId="5FFBC7A7" w:rsidR="00685EA5" w:rsidRDefault="00685EA5" w:rsidP="00685EA5">
      <w:pPr>
        <w:spacing w:before="120" w:after="200"/>
        <w:jc w:val="center"/>
        <w:rPr>
          <w:rFonts w:ascii="Calibri" w:hAnsi="Calibri" w:cs="Calibri"/>
          <w:b/>
          <w:color w:val="006699"/>
          <w:sz w:val="36"/>
          <w:lang w:val="en-GB"/>
        </w:rPr>
      </w:pPr>
      <w:r w:rsidRPr="003905C2">
        <w:rPr>
          <w:rFonts w:ascii="Calibri" w:hAnsi="Calibri" w:cs="Calibri"/>
          <w:b/>
          <w:color w:val="006699"/>
          <w:sz w:val="36"/>
          <w:lang w:val="en-GB"/>
        </w:rPr>
        <w:t>2024-11-2</w:t>
      </w:r>
      <w:r>
        <w:rPr>
          <w:rFonts w:ascii="Calibri" w:hAnsi="Calibri" w:cs="Calibri"/>
          <w:b/>
          <w:color w:val="006699"/>
          <w:sz w:val="36"/>
          <w:lang w:val="en-GB"/>
        </w:rPr>
        <w:t>8</w:t>
      </w:r>
    </w:p>
    <w:p w14:paraId="1DDB40DE" w14:textId="741A6591" w:rsidR="00685EA5" w:rsidRDefault="00685EA5" w:rsidP="00685EA5">
      <w:pPr>
        <w:spacing w:line="264" w:lineRule="auto"/>
        <w:rPr>
          <w:rFonts w:ascii="Calibri" w:hAnsi="Calibri" w:cs="Calibri"/>
          <w:bCs/>
          <w:color w:val="4472C4" w:themeColor="accent1"/>
          <w:sz w:val="22"/>
          <w:szCs w:val="22"/>
          <w:lang w:val="en-GB"/>
        </w:rPr>
      </w:pPr>
      <w:r w:rsidRPr="00685EA5">
        <w:rPr>
          <w:rFonts w:ascii="Calibri" w:hAnsi="Calibri" w:cs="Calibri"/>
          <w:bCs/>
          <w:color w:val="4472C4" w:themeColor="accent1"/>
          <w:sz w:val="22"/>
          <w:szCs w:val="22"/>
          <w:lang w:val="en-GB"/>
        </w:rPr>
        <w:t xml:space="preserve">DAY4: </w:t>
      </w:r>
      <w:hyperlink r:id="rId29" w:history="1">
        <w:r w:rsidRPr="00077360">
          <w:rPr>
            <w:rStyle w:val="Hyperlink"/>
            <w:rFonts w:ascii="Calibri" w:hAnsi="Calibri" w:cs="Calibri"/>
            <w:bCs/>
            <w:sz w:val="22"/>
            <w:szCs w:val="22"/>
            <w:lang w:val="en-GB"/>
          </w:rPr>
          <w:t>https://teams.microsoft.com/l/meetup-join/19%3aJdu4-YOGoTWvm2EtTXTcbi08m9LpmYFMY_vTAu_mQGU1%40thread.tacv2/1729135479241?context=%7b%22Tid%22%3a%22e787b025-3fc6-4802-874a-9c988768f892%22%2c%22Oid%22%3a%22ac391189-1971-4664-9abf-5dbf09f2a671%22%7d</w:t>
        </w:r>
      </w:hyperlink>
    </w:p>
    <w:p w14:paraId="2CF7BBF4" w14:textId="77777777" w:rsidR="00685EA5" w:rsidRDefault="00685EA5" w:rsidP="00685EA5">
      <w:pPr>
        <w:spacing w:line="264" w:lineRule="auto"/>
        <w:jc w:val="both"/>
        <w:rPr>
          <w:rFonts w:ascii="Calibri" w:hAnsi="Calibri" w:cs="Calibri"/>
          <w:bCs/>
          <w:color w:val="4472C4" w:themeColor="accent1"/>
          <w:sz w:val="22"/>
          <w:szCs w:val="22"/>
          <w:lang w:val="en-GB"/>
        </w:rPr>
      </w:pPr>
      <w:r w:rsidRPr="00685EA5">
        <w:rPr>
          <w:rFonts w:ascii="Calibri" w:hAnsi="Calibri" w:cs="Calibri"/>
          <w:bCs/>
          <w:color w:val="4472C4" w:themeColor="accent1"/>
          <w:sz w:val="22"/>
          <w:szCs w:val="22"/>
          <w:lang w:val="en-GB"/>
        </w:rPr>
        <w:t xml:space="preserve"> </w:t>
      </w:r>
    </w:p>
    <w:p w14:paraId="57893349" w14:textId="09696FEE" w:rsidR="00685EA5" w:rsidRDefault="00685EA5" w:rsidP="00685EA5">
      <w:pPr>
        <w:spacing w:line="264" w:lineRule="auto"/>
        <w:jc w:val="both"/>
        <w:rPr>
          <w:rFonts w:ascii="Calibri" w:hAnsi="Calibri" w:cs="Calibri"/>
          <w:color w:val="000000" w:themeColor="text1"/>
          <w:lang w:val="it-IT"/>
        </w:rPr>
      </w:pPr>
      <w:r w:rsidRPr="00685EA5">
        <w:rPr>
          <w:rFonts w:ascii="Calibri" w:hAnsi="Calibri" w:cs="Calibri"/>
          <w:bCs/>
          <w:color w:val="4472C4" w:themeColor="accent1"/>
          <w:sz w:val="22"/>
          <w:szCs w:val="22"/>
          <w:lang w:val="en-GB"/>
        </w:rPr>
        <w:t>Meeting ID: 343 891 093 619 Passcode: ELxcww</w:t>
      </w:r>
    </w:p>
    <w:p w14:paraId="6C6C2F30" w14:textId="77777777" w:rsidR="00685EA5" w:rsidRDefault="00685EA5" w:rsidP="00685EA5">
      <w:pPr>
        <w:spacing w:line="264" w:lineRule="auto"/>
        <w:jc w:val="both"/>
        <w:rPr>
          <w:rFonts w:ascii="Calibri" w:hAnsi="Calibri" w:cs="Calibri"/>
          <w:color w:val="000000" w:themeColor="text1"/>
          <w:lang w:val="it-IT"/>
        </w:rPr>
      </w:pPr>
    </w:p>
    <w:p w14:paraId="28F491CD" w14:textId="77777777" w:rsidR="00685EA5" w:rsidRDefault="00685EA5" w:rsidP="00685EA5">
      <w:pPr>
        <w:rPr>
          <w:rFonts w:ascii="Calibri" w:hAnsi="Calibri" w:cs="Calibri"/>
          <w:b/>
          <w:color w:val="006699"/>
          <w:lang w:val="en-GB"/>
        </w:rPr>
      </w:pPr>
      <w:r>
        <w:rPr>
          <w:rFonts w:ascii="Calibri" w:hAnsi="Calibri" w:cs="Calibri"/>
          <w:b/>
          <w:color w:val="006699"/>
          <w:lang w:val="en-GB"/>
        </w:rPr>
        <w:br w:type="page"/>
      </w:r>
    </w:p>
    <w:p w14:paraId="54AF31AA" w14:textId="77777777" w:rsidR="00685EA5" w:rsidRDefault="00685EA5" w:rsidP="00685EA5">
      <w:pPr>
        <w:rPr>
          <w:rFonts w:ascii="Calibri" w:hAnsi="Calibri" w:cs="Calibri"/>
          <w:sz w:val="22"/>
          <w:szCs w:val="22"/>
        </w:rPr>
      </w:pPr>
    </w:p>
    <w:p w14:paraId="12DE4FEF" w14:textId="0C45667C" w:rsidR="00685EA5" w:rsidRPr="008E46EB" w:rsidRDefault="00685EA5" w:rsidP="008E46EB">
      <w:pPr>
        <w:jc w:val="center"/>
        <w:rPr>
          <w:rFonts w:ascii="Calibri" w:hAnsi="Calibri" w:cs="Calibri"/>
          <w:sz w:val="22"/>
          <w:szCs w:val="22"/>
        </w:rPr>
      </w:pPr>
      <w:r w:rsidRPr="00685EA5">
        <w:rPr>
          <w:rFonts w:ascii="Calibri" w:hAnsi="Calibri" w:cs="Calibri"/>
          <w:b/>
          <w:bCs/>
          <w:color w:val="2E74B5" w:themeColor="accent5" w:themeShade="BF"/>
          <w:lang w:val="en-GB"/>
        </w:rPr>
        <w:t>Imaging of Fe2+ gradients as a ferroptosis marker in malaria parasites using a fluorogenic labile heme reporters</w:t>
      </w:r>
    </w:p>
    <w:p w14:paraId="0E993483" w14:textId="77777777" w:rsidR="008E46EB" w:rsidRPr="00AD3695" w:rsidRDefault="008E46EB" w:rsidP="008E46EB">
      <w:pPr>
        <w:spacing w:line="276" w:lineRule="auto"/>
        <w:jc w:val="center"/>
        <w:rPr>
          <w:rFonts w:ascii="Calibri" w:hAnsi="Calibri" w:cs="Calibri"/>
          <w:sz w:val="22"/>
          <w:szCs w:val="22"/>
        </w:rPr>
      </w:pPr>
      <w:r w:rsidRPr="00E4794E">
        <w:rPr>
          <w:rFonts w:ascii="Calibri" w:hAnsi="Calibri" w:cs="Calibri"/>
          <w:b/>
          <w:bCs/>
          <w:color w:val="000000"/>
          <w:sz w:val="22"/>
          <w:szCs w:val="22"/>
          <w:u w:val="single"/>
        </w:rPr>
        <w:t>Rodrigue Keumoe</w:t>
      </w:r>
      <w:r w:rsidRPr="00E4794E">
        <w:rPr>
          <w:rFonts w:ascii="Calibri" w:hAnsi="Calibri" w:cs="Calibri"/>
          <w:b/>
          <w:bCs/>
          <w:color w:val="000000"/>
          <w:sz w:val="22"/>
          <w:szCs w:val="22"/>
          <w:vertAlign w:val="superscript"/>
        </w:rPr>
        <w:t>a</w:t>
      </w:r>
      <w:r w:rsidRPr="00AD3695">
        <w:rPr>
          <w:rFonts w:ascii="Calibri" w:hAnsi="Calibri" w:cs="Calibri"/>
          <w:color w:val="000000"/>
          <w:sz w:val="22"/>
          <w:szCs w:val="22"/>
        </w:rPr>
        <w:t>, Tobias S</w:t>
      </w:r>
      <w:r>
        <w:rPr>
          <w:rFonts w:ascii="Calibri" w:hAnsi="Calibri" w:cs="Calibri"/>
          <w:color w:val="000000"/>
          <w:sz w:val="22"/>
          <w:szCs w:val="22"/>
        </w:rPr>
        <w:t>pielmann</w:t>
      </w:r>
      <w:r w:rsidRPr="00AD3695">
        <w:rPr>
          <w:rFonts w:ascii="Calibri" w:hAnsi="Calibri" w:cs="Calibri"/>
          <w:color w:val="000000"/>
          <w:sz w:val="22"/>
          <w:szCs w:val="22"/>
          <w:vertAlign w:val="superscript"/>
        </w:rPr>
        <w:t>b</w:t>
      </w:r>
      <w:r w:rsidRPr="00AD3695">
        <w:rPr>
          <w:rFonts w:ascii="Calibri" w:hAnsi="Calibri" w:cs="Calibri"/>
          <w:color w:val="000000"/>
          <w:sz w:val="22"/>
          <w:szCs w:val="22"/>
        </w:rPr>
        <w:t xml:space="preserve">, </w:t>
      </w:r>
      <w:r w:rsidRPr="00DE3AFF">
        <w:rPr>
          <w:rFonts w:ascii="Calibri" w:hAnsi="Calibri" w:cs="Calibri"/>
          <w:color w:val="000000"/>
          <w:sz w:val="22"/>
          <w:szCs w:val="22"/>
        </w:rPr>
        <w:t>Jimmy</w:t>
      </w:r>
      <w:r>
        <w:rPr>
          <w:rFonts w:ascii="Calibri" w:hAnsi="Calibri" w:cs="Calibri"/>
          <w:color w:val="000000"/>
          <w:sz w:val="22"/>
          <w:szCs w:val="22"/>
        </w:rPr>
        <w:t xml:space="preserve"> Richard</w:t>
      </w:r>
      <w:r>
        <w:rPr>
          <w:rFonts w:ascii="Calibri" w:hAnsi="Calibri" w:cs="Calibri"/>
          <w:color w:val="000000"/>
          <w:sz w:val="22"/>
          <w:szCs w:val="22"/>
          <w:vertAlign w:val="superscript"/>
        </w:rPr>
        <w:t>c</w:t>
      </w:r>
      <w:r w:rsidRPr="00DE3AFF">
        <w:rPr>
          <w:rFonts w:ascii="Calibri" w:hAnsi="Calibri" w:cs="Calibri"/>
          <w:color w:val="000000"/>
          <w:sz w:val="22"/>
          <w:szCs w:val="22"/>
        </w:rPr>
        <w:t>, Valerie</w:t>
      </w:r>
      <w:r>
        <w:rPr>
          <w:rFonts w:ascii="Calibri" w:hAnsi="Calibri" w:cs="Calibri"/>
          <w:color w:val="000000"/>
          <w:sz w:val="22"/>
          <w:szCs w:val="22"/>
        </w:rPr>
        <w:t xml:space="preserve"> Mazan</w:t>
      </w:r>
      <w:r>
        <w:rPr>
          <w:rFonts w:ascii="Calibri" w:hAnsi="Calibri" w:cs="Calibri"/>
          <w:color w:val="000000"/>
          <w:sz w:val="22"/>
          <w:szCs w:val="22"/>
          <w:vertAlign w:val="superscript"/>
        </w:rPr>
        <w:t>c</w:t>
      </w:r>
      <w:r w:rsidRPr="00DE3AFF">
        <w:rPr>
          <w:rFonts w:ascii="Calibri" w:hAnsi="Calibri" w:cs="Calibri"/>
          <w:color w:val="000000"/>
          <w:sz w:val="22"/>
          <w:szCs w:val="22"/>
        </w:rPr>
        <w:t>, Mourad</w:t>
      </w:r>
      <w:r>
        <w:rPr>
          <w:rFonts w:ascii="Calibri" w:hAnsi="Calibri" w:cs="Calibri"/>
          <w:color w:val="000000"/>
          <w:sz w:val="22"/>
          <w:szCs w:val="22"/>
        </w:rPr>
        <w:t xml:space="preserve"> Elhabiri</w:t>
      </w:r>
      <w:r>
        <w:rPr>
          <w:rFonts w:ascii="Calibri" w:hAnsi="Calibri" w:cs="Calibri"/>
          <w:color w:val="000000"/>
          <w:sz w:val="22"/>
          <w:szCs w:val="22"/>
          <w:vertAlign w:val="superscript"/>
        </w:rPr>
        <w:t>c</w:t>
      </w:r>
      <w:r>
        <w:rPr>
          <w:rFonts w:ascii="Calibri" w:hAnsi="Calibri" w:cs="Calibri"/>
          <w:color w:val="000000"/>
          <w:sz w:val="22"/>
          <w:szCs w:val="22"/>
        </w:rPr>
        <w:t xml:space="preserve">, </w:t>
      </w:r>
      <w:r w:rsidRPr="00AD3695">
        <w:rPr>
          <w:rFonts w:ascii="Calibri" w:hAnsi="Calibri" w:cs="Calibri"/>
          <w:color w:val="000000"/>
          <w:sz w:val="22"/>
          <w:szCs w:val="22"/>
        </w:rPr>
        <w:t>Elisabeth D</w:t>
      </w:r>
      <w:r>
        <w:rPr>
          <w:rFonts w:ascii="Calibri" w:hAnsi="Calibri" w:cs="Calibri"/>
          <w:color w:val="000000"/>
          <w:sz w:val="22"/>
          <w:szCs w:val="22"/>
        </w:rPr>
        <w:t>avioud-Charvet</w:t>
      </w:r>
      <w:r>
        <w:rPr>
          <w:rFonts w:ascii="Calibri" w:hAnsi="Calibri" w:cs="Calibri"/>
          <w:color w:val="000000"/>
          <w:sz w:val="22"/>
          <w:szCs w:val="22"/>
          <w:vertAlign w:val="superscript"/>
        </w:rPr>
        <w:t>c</w:t>
      </w:r>
      <w:r w:rsidRPr="00AD3695">
        <w:rPr>
          <w:rFonts w:ascii="Calibri" w:hAnsi="Calibri" w:cs="Calibri"/>
          <w:color w:val="000000"/>
          <w:sz w:val="22"/>
          <w:szCs w:val="22"/>
        </w:rPr>
        <w:t>, S</w:t>
      </w:r>
      <w:r>
        <w:rPr>
          <w:rFonts w:ascii="Calibri" w:hAnsi="Calibri" w:cs="Calibri"/>
          <w:color w:val="000000"/>
          <w:sz w:val="22"/>
          <w:szCs w:val="22"/>
        </w:rPr>
        <w:t>tephanie A. Blandin</w:t>
      </w:r>
      <w:r w:rsidRPr="00AD3695">
        <w:rPr>
          <w:rFonts w:ascii="Calibri" w:hAnsi="Calibri" w:cs="Calibri"/>
          <w:color w:val="000000"/>
          <w:sz w:val="22"/>
          <w:szCs w:val="22"/>
          <w:vertAlign w:val="superscript"/>
        </w:rPr>
        <w:t>a</w:t>
      </w:r>
      <w:r>
        <w:rPr>
          <w:rFonts w:ascii="Calibri" w:hAnsi="Calibri" w:cs="Calibri"/>
          <w:color w:val="000000"/>
          <w:sz w:val="22"/>
          <w:szCs w:val="22"/>
        </w:rPr>
        <w:t xml:space="preserve"> </w:t>
      </w:r>
    </w:p>
    <w:p w14:paraId="268038EB" w14:textId="77777777" w:rsidR="008E46EB" w:rsidRPr="00B82C29" w:rsidRDefault="008E46EB" w:rsidP="008E46EB">
      <w:pPr>
        <w:jc w:val="center"/>
        <w:rPr>
          <w:rFonts w:asciiTheme="minorHAnsi" w:hAnsiTheme="minorHAnsi" w:cstheme="minorHAnsi"/>
          <w:color w:val="000000"/>
          <w:sz w:val="22"/>
          <w:szCs w:val="22"/>
          <w:lang w:val="en-GB"/>
        </w:rPr>
      </w:pPr>
      <w:r w:rsidRPr="00B82C29">
        <w:rPr>
          <w:rFonts w:asciiTheme="minorHAnsi" w:hAnsiTheme="minorHAnsi" w:cstheme="minorHAnsi"/>
          <w:color w:val="000000"/>
          <w:sz w:val="22"/>
          <w:szCs w:val="22"/>
          <w:vertAlign w:val="superscript"/>
          <w:lang w:val="en-GB"/>
        </w:rPr>
        <w:t xml:space="preserve">a </w:t>
      </w:r>
      <w:r w:rsidRPr="00B82C29">
        <w:rPr>
          <w:rFonts w:asciiTheme="minorHAnsi" w:hAnsiTheme="minorHAnsi" w:cstheme="minorHAnsi"/>
          <w:color w:val="000000"/>
          <w:sz w:val="22"/>
          <w:szCs w:val="22"/>
          <w:lang w:val="en-GB"/>
        </w:rPr>
        <w:t xml:space="preserve">Inserm U1257, CNRS UPR9022, University of Strasbourg, IBMC, Strasbourg, France; </w:t>
      </w:r>
      <w:r w:rsidRPr="00B82C29">
        <w:rPr>
          <w:rFonts w:asciiTheme="minorHAnsi" w:hAnsiTheme="minorHAnsi" w:cstheme="minorHAnsi"/>
          <w:color w:val="000000"/>
          <w:sz w:val="22"/>
          <w:szCs w:val="22"/>
          <w:vertAlign w:val="superscript"/>
          <w:lang w:val="en-GB"/>
        </w:rPr>
        <w:t>b</w:t>
      </w:r>
      <w:r w:rsidRPr="00B82C29">
        <w:rPr>
          <w:rFonts w:asciiTheme="minorHAnsi" w:hAnsiTheme="minorHAnsi" w:cstheme="minorHAnsi"/>
          <w:color w:val="000000"/>
          <w:sz w:val="22"/>
          <w:szCs w:val="22"/>
          <w:lang w:val="en-GB"/>
        </w:rPr>
        <w:t xml:space="preserve"> Bernard Nocht Institute für Tropical Medizin, Hamburg,Germany, </w:t>
      </w:r>
      <w:r w:rsidRPr="00B82C29">
        <w:rPr>
          <w:rFonts w:asciiTheme="minorHAnsi" w:hAnsiTheme="minorHAnsi" w:cstheme="minorHAnsi"/>
          <w:color w:val="000000"/>
          <w:sz w:val="22"/>
          <w:szCs w:val="22"/>
          <w:vertAlign w:val="superscript"/>
          <w:lang w:val="en-GB"/>
        </w:rPr>
        <w:t>c</w:t>
      </w:r>
      <w:r w:rsidRPr="00B82C29">
        <w:rPr>
          <w:rFonts w:asciiTheme="minorHAnsi" w:hAnsiTheme="minorHAnsi" w:cstheme="minorHAnsi"/>
          <w:color w:val="000000"/>
          <w:sz w:val="22"/>
          <w:szCs w:val="22"/>
          <w:lang w:val="en-GB"/>
        </w:rPr>
        <w:t xml:space="preserve"> UMR7042 CNRS, Université de Strasbourg, Université de Haute-Alsace, LIMA, Strasbourg, France.</w:t>
      </w:r>
    </w:p>
    <w:p w14:paraId="2014531C" w14:textId="77777777" w:rsidR="008E46EB" w:rsidRPr="00B82C29" w:rsidRDefault="008E46EB" w:rsidP="008E46EB">
      <w:pPr>
        <w:jc w:val="center"/>
        <w:rPr>
          <w:rFonts w:asciiTheme="minorHAnsi" w:hAnsiTheme="minorHAnsi" w:cstheme="minorHAnsi"/>
          <w:color w:val="000000"/>
          <w:sz w:val="22"/>
          <w:szCs w:val="22"/>
          <w:lang w:val="en-GB"/>
        </w:rPr>
      </w:pPr>
      <w:r w:rsidRPr="00B82C29">
        <w:rPr>
          <w:rFonts w:asciiTheme="minorHAnsi" w:hAnsiTheme="minorHAnsi" w:cstheme="minorHAnsi"/>
          <w:color w:val="000000"/>
          <w:sz w:val="22"/>
          <w:szCs w:val="22"/>
          <w:lang w:val="en-GB"/>
        </w:rPr>
        <w:t xml:space="preserve">e-mail: </w:t>
      </w:r>
      <w:hyperlink r:id="rId30" w:history="1">
        <w:r w:rsidRPr="00B82C29">
          <w:rPr>
            <w:rStyle w:val="Hyperlink"/>
            <w:rFonts w:asciiTheme="minorHAnsi" w:hAnsiTheme="minorHAnsi" w:cstheme="minorHAnsi"/>
            <w:sz w:val="22"/>
            <w:szCs w:val="22"/>
            <w:lang w:val="en-GB"/>
          </w:rPr>
          <w:t>keumoe@unistra.fr</w:t>
        </w:r>
      </w:hyperlink>
      <w:r w:rsidRPr="00B82C29">
        <w:rPr>
          <w:rFonts w:asciiTheme="minorHAnsi" w:hAnsiTheme="minorHAnsi" w:cstheme="minorHAnsi"/>
          <w:color w:val="000000"/>
          <w:sz w:val="22"/>
          <w:szCs w:val="22"/>
          <w:lang w:val="en-GB"/>
        </w:rPr>
        <w:t xml:space="preserve"> </w:t>
      </w:r>
    </w:p>
    <w:p w14:paraId="05476131" w14:textId="77777777" w:rsidR="008E46EB" w:rsidRPr="007E4295" w:rsidRDefault="008E46EB" w:rsidP="008E46EB">
      <w:pPr>
        <w:jc w:val="center"/>
        <w:rPr>
          <w:rFonts w:ascii="Calibri" w:hAnsi="Calibri" w:cs="Calibri"/>
          <w:color w:val="000000"/>
          <w:sz w:val="22"/>
          <w:szCs w:val="22"/>
          <w:lang w:val="en-GB"/>
        </w:rPr>
      </w:pPr>
    </w:p>
    <w:p w14:paraId="46C51471" w14:textId="77777777" w:rsidR="008E46EB" w:rsidRPr="00B82C29" w:rsidRDefault="008E46EB" w:rsidP="008E46EB">
      <w:pPr>
        <w:jc w:val="both"/>
        <w:rPr>
          <w:rFonts w:ascii="Calibri" w:hAnsi="Calibri" w:cs="Calibri"/>
        </w:rPr>
      </w:pPr>
      <w:r w:rsidRPr="00B82C29">
        <w:rPr>
          <w:rFonts w:ascii="Calibri" w:hAnsi="Calibri" w:cs="Calibri"/>
        </w:rPr>
        <w:t xml:space="preserve">Plasmodione (Figure 1), is an </w:t>
      </w:r>
      <w:r w:rsidRPr="00B82C29">
        <w:rPr>
          <w:rFonts w:ascii="Calibri" w:hAnsi="Calibri" w:cs="Calibri"/>
          <w:lang w:eastAsia="it-IT"/>
        </w:rPr>
        <w:t>early lead antimalarial redox-active agent acting as a prodrug</w:t>
      </w:r>
      <w:r w:rsidRPr="00B82C29">
        <w:rPr>
          <w:rFonts w:ascii="Calibri" w:hAnsi="Calibri" w:cs="Calibri"/>
        </w:rPr>
        <w:t xml:space="preserve">. Its selectivity against malaria is due to a specific bioactivation process that generates a 3-benzoylmenadione metabolite </w:t>
      </w:r>
      <w:r w:rsidRPr="00B82C29">
        <w:rPr>
          <w:rFonts w:ascii="Calibri" w:hAnsi="Calibri" w:cs="Calibri"/>
          <w:lang w:eastAsia="it-IT"/>
        </w:rPr>
        <w:t>(plasmodione oxide)</w:t>
      </w:r>
      <w:r w:rsidRPr="00B82C29">
        <w:rPr>
          <w:rFonts w:ascii="Calibri" w:hAnsi="Calibri" w:cs="Calibri"/>
        </w:rPr>
        <w:t xml:space="preserve">. This metabolite acts as a substrate for flavoenzymes, through a cascade of redox reactions that produces harmful oxidative metabolites, ultimately leading to parasite death, likely through ferroptosis. Ferroptosis is a form of programmed cell death dependent on labile heme-bound iron (Fe²⁺) </w:t>
      </w:r>
      <w:r w:rsidRPr="00B82C29">
        <w:rPr>
          <w:rFonts w:ascii="Calibri" w:hAnsi="Calibri" w:cs="Calibri"/>
          <w:lang w:eastAsia="it-IT"/>
        </w:rPr>
        <w:t xml:space="preserve">accumulation </w:t>
      </w:r>
      <w:r w:rsidRPr="00B82C29">
        <w:rPr>
          <w:rFonts w:ascii="Calibri" w:hAnsi="Calibri" w:cs="Calibri"/>
        </w:rPr>
        <w:t xml:space="preserve">and lipid peroxidation. </w:t>
      </w:r>
      <w:r w:rsidRPr="00B82C29">
        <w:rPr>
          <w:rFonts w:ascii="Calibri" w:hAnsi="Calibri" w:cs="Calibri"/>
          <w:lang w:eastAsia="it-IT"/>
        </w:rPr>
        <w:t>The aim of this study was to investigate whether plasmodione and other antimalarial analogues induce ferroptosis</w:t>
      </w:r>
      <w:r w:rsidRPr="00B82C29">
        <w:rPr>
          <w:rFonts w:ascii="Calibri" w:hAnsi="Calibri" w:cs="Calibri"/>
        </w:rPr>
        <w:t>. The fluorogenic probes Ac-H-FluNox to detect ferrous labile heme (LH) [1] and SiRhoNox-1 for total Fe²⁺ species [2] (Figure 1), were specifically detected in infected red blood cells (iRBCs), and not in uninfected red blood cells (niRBCs). Si-RhoNox produced a stronger signal in treated iRBCs as compared to Ac-FluNox, upon plasmodione treatment producing a stronger signal than erastin. These findings suggest that Si-RhoNox may serve as a useful tool for detecting Fe²⁺ changes upon drug treatment in iRBCs. Further experiments with Si-RhoNox and using other ferroptosis reporter are necessary to validate this hypothesis.</w:t>
      </w:r>
    </w:p>
    <w:p w14:paraId="11AE0088" w14:textId="77777777" w:rsidR="008E46EB" w:rsidRDefault="008E46EB" w:rsidP="008E46EB">
      <w:pPr>
        <w:rPr>
          <w:rFonts w:ascii="Calibri" w:hAnsi="Calibri" w:cs="Calibri"/>
        </w:rPr>
      </w:pPr>
      <w:r>
        <w:rPr>
          <w:rFonts w:ascii="Calibri" w:hAnsi="Calibri" w:cs="Calibri"/>
          <w:noProof/>
        </w:rPr>
        <w:drawing>
          <wp:inline distT="0" distB="0" distL="0" distR="0" wp14:anchorId="181723CD" wp14:editId="4AC5232C">
            <wp:extent cx="5343525" cy="1028700"/>
            <wp:effectExtent l="0" t="0" r="0" b="0"/>
            <wp:docPr id="188985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3525" cy="1028700"/>
                    </a:xfrm>
                    <a:prstGeom prst="rect">
                      <a:avLst/>
                    </a:prstGeom>
                    <a:noFill/>
                    <a:ln>
                      <a:noFill/>
                    </a:ln>
                  </pic:spPr>
                </pic:pic>
              </a:graphicData>
            </a:graphic>
          </wp:inline>
        </w:drawing>
      </w:r>
    </w:p>
    <w:p w14:paraId="5B570DD6" w14:textId="77777777" w:rsidR="008E46EB" w:rsidRPr="00980997" w:rsidRDefault="008E46EB" w:rsidP="008E46EB">
      <w:pPr>
        <w:jc w:val="both"/>
        <w:rPr>
          <w:rFonts w:ascii="Calibri" w:hAnsi="Calibri" w:cs="Calibri"/>
          <w:sz w:val="22"/>
          <w:szCs w:val="22"/>
        </w:rPr>
      </w:pPr>
      <w:r w:rsidRPr="00980997">
        <w:rPr>
          <w:rFonts w:ascii="Calibri" w:hAnsi="Calibri" w:cs="Calibri"/>
          <w:b/>
          <w:bCs/>
          <w:sz w:val="22"/>
          <w:szCs w:val="22"/>
        </w:rPr>
        <w:t>Figure 1</w:t>
      </w:r>
      <w:r w:rsidRPr="00980997">
        <w:rPr>
          <w:rFonts w:ascii="Calibri" w:hAnsi="Calibri" w:cs="Calibri"/>
          <w:sz w:val="22"/>
          <w:szCs w:val="22"/>
        </w:rPr>
        <w:t>. Chemical structure of plasmodione (left) and of the two fluorogenic Fe</w:t>
      </w:r>
      <w:r w:rsidRPr="00E4794E">
        <w:rPr>
          <w:rFonts w:ascii="Calibri" w:hAnsi="Calibri" w:cs="Calibri"/>
          <w:sz w:val="22"/>
          <w:szCs w:val="22"/>
          <w:vertAlign w:val="superscript"/>
        </w:rPr>
        <w:t>2+</w:t>
      </w:r>
      <w:r w:rsidRPr="00980997">
        <w:rPr>
          <w:rFonts w:ascii="Calibri" w:hAnsi="Calibri" w:cs="Calibri"/>
          <w:sz w:val="22"/>
          <w:szCs w:val="22"/>
        </w:rPr>
        <w:t xml:space="preserve"> reporters (Ac-H-FluNox for labile heme (Fe</w:t>
      </w:r>
      <w:r w:rsidRPr="00E4794E">
        <w:rPr>
          <w:rFonts w:ascii="Calibri" w:hAnsi="Calibri" w:cs="Calibri"/>
          <w:sz w:val="22"/>
          <w:szCs w:val="22"/>
          <w:vertAlign w:val="superscript"/>
        </w:rPr>
        <w:t>2+</w:t>
      </w:r>
      <w:r w:rsidRPr="00980997">
        <w:rPr>
          <w:rFonts w:ascii="Calibri" w:hAnsi="Calibri" w:cs="Calibri"/>
          <w:sz w:val="22"/>
          <w:szCs w:val="22"/>
        </w:rPr>
        <w:t>) and SiRhoNox-1 for total labile Fe</w:t>
      </w:r>
      <w:r w:rsidRPr="00E4794E">
        <w:rPr>
          <w:rFonts w:ascii="Calibri" w:hAnsi="Calibri" w:cs="Calibri"/>
          <w:sz w:val="22"/>
          <w:szCs w:val="22"/>
          <w:vertAlign w:val="superscript"/>
        </w:rPr>
        <w:t>2+</w:t>
      </w:r>
      <w:r>
        <w:rPr>
          <w:rFonts w:ascii="Calibri" w:hAnsi="Calibri" w:cs="Calibri"/>
          <w:sz w:val="22"/>
          <w:szCs w:val="22"/>
        </w:rPr>
        <w:t>)</w:t>
      </w:r>
    </w:p>
    <w:p w14:paraId="3647EF6B" w14:textId="77777777" w:rsidR="00B82C29" w:rsidRDefault="00B82C29" w:rsidP="008E46EB">
      <w:pPr>
        <w:rPr>
          <w:rFonts w:ascii="Calibri" w:hAnsi="Calibri" w:cs="Calibri"/>
          <w:b/>
          <w:bCs/>
          <w:sz w:val="22"/>
          <w:szCs w:val="22"/>
        </w:rPr>
      </w:pPr>
    </w:p>
    <w:p w14:paraId="35BABFEE" w14:textId="3440D569" w:rsidR="008E46EB" w:rsidRPr="001246E8" w:rsidRDefault="008E46EB" w:rsidP="008E46EB">
      <w:pPr>
        <w:rPr>
          <w:rFonts w:ascii="Calibri" w:hAnsi="Calibri" w:cs="Calibri"/>
          <w:b/>
          <w:bCs/>
          <w:sz w:val="22"/>
          <w:szCs w:val="22"/>
        </w:rPr>
      </w:pPr>
      <w:r>
        <w:rPr>
          <w:rFonts w:ascii="Calibri" w:hAnsi="Calibri" w:cs="Calibri"/>
          <w:b/>
          <w:bCs/>
          <w:sz w:val="22"/>
          <w:szCs w:val="22"/>
        </w:rPr>
        <w:t>References</w:t>
      </w:r>
    </w:p>
    <w:p w14:paraId="5861EA98" w14:textId="77777777" w:rsidR="008E46EB" w:rsidRPr="00980997" w:rsidRDefault="008E46EB" w:rsidP="008E46EB">
      <w:pPr>
        <w:jc w:val="both"/>
        <w:rPr>
          <w:rFonts w:ascii="Calibri" w:hAnsi="Calibri" w:cs="Calibri"/>
          <w:spacing w:val="2"/>
          <w:sz w:val="22"/>
          <w:szCs w:val="22"/>
          <w:shd w:val="clear" w:color="auto" w:fill="FFFFFF"/>
        </w:rPr>
      </w:pPr>
      <w:r>
        <w:rPr>
          <w:rFonts w:ascii="Calibri" w:hAnsi="Calibri" w:cs="Calibri"/>
          <w:spacing w:val="2"/>
          <w:sz w:val="22"/>
          <w:szCs w:val="22"/>
          <w:shd w:val="clear" w:color="auto" w:fill="FFFFFF"/>
        </w:rPr>
        <w:t>1</w:t>
      </w:r>
      <w:r w:rsidRPr="00980997">
        <w:rPr>
          <w:rFonts w:ascii="Calibri" w:hAnsi="Calibri" w:cs="Calibri"/>
          <w:spacing w:val="2"/>
          <w:sz w:val="22"/>
          <w:szCs w:val="22"/>
          <w:shd w:val="clear" w:color="auto" w:fill="FFFFFF"/>
        </w:rPr>
        <w:t>. Kawai, K., Hirayama, T., Imai, H., Murakami, T., Inden, M., Hozumi, I., and Nagasawa, H.</w:t>
      </w:r>
      <w:r>
        <w:rPr>
          <w:rFonts w:ascii="Calibri" w:hAnsi="Calibri" w:cs="Calibri"/>
          <w:spacing w:val="2"/>
          <w:sz w:val="22"/>
          <w:szCs w:val="22"/>
          <w:shd w:val="clear" w:color="auto" w:fill="FFFFFF"/>
        </w:rPr>
        <w:t xml:space="preserve"> </w:t>
      </w:r>
      <w:r w:rsidRPr="00980997">
        <w:rPr>
          <w:rFonts w:ascii="Calibri" w:hAnsi="Calibri" w:cs="Calibri"/>
          <w:spacing w:val="2"/>
          <w:sz w:val="22"/>
          <w:szCs w:val="22"/>
          <w:shd w:val="clear" w:color="auto" w:fill="FFFFFF"/>
        </w:rPr>
        <w:t>J. Am.</w:t>
      </w:r>
      <w:r>
        <w:rPr>
          <w:rFonts w:ascii="Calibri" w:hAnsi="Calibri" w:cs="Calibri"/>
          <w:spacing w:val="2"/>
          <w:sz w:val="22"/>
          <w:szCs w:val="22"/>
          <w:shd w:val="clear" w:color="auto" w:fill="FFFFFF"/>
        </w:rPr>
        <w:t xml:space="preserve"> </w:t>
      </w:r>
      <w:r w:rsidRPr="00980997">
        <w:rPr>
          <w:rFonts w:ascii="Calibri" w:hAnsi="Calibri" w:cs="Calibri"/>
          <w:spacing w:val="2"/>
          <w:sz w:val="22"/>
          <w:szCs w:val="22"/>
          <w:shd w:val="clear" w:color="auto" w:fill="FFFFFF"/>
        </w:rPr>
        <w:t>Chem. Soc</w:t>
      </w:r>
      <w:r>
        <w:rPr>
          <w:rFonts w:ascii="Calibri" w:hAnsi="Calibri" w:cs="Calibri"/>
          <w:spacing w:val="2"/>
          <w:sz w:val="22"/>
          <w:szCs w:val="22"/>
          <w:shd w:val="clear" w:color="auto" w:fill="FFFFFF"/>
        </w:rPr>
        <w:t xml:space="preserve"> (2022)</w:t>
      </w:r>
      <w:r w:rsidRPr="00980997">
        <w:rPr>
          <w:rFonts w:ascii="Calibri" w:hAnsi="Calibri" w:cs="Calibri"/>
          <w:spacing w:val="2"/>
          <w:sz w:val="22"/>
          <w:szCs w:val="22"/>
          <w:shd w:val="clear" w:color="auto" w:fill="FFFFFF"/>
        </w:rPr>
        <w:t>.</w:t>
      </w:r>
    </w:p>
    <w:p w14:paraId="3F71C0F4" w14:textId="77777777" w:rsidR="008E46EB" w:rsidRDefault="008E46EB" w:rsidP="008E46EB">
      <w:pPr>
        <w:rPr>
          <w:rFonts w:ascii="Calibri" w:hAnsi="Calibri" w:cs="Calibri"/>
          <w:spacing w:val="2"/>
          <w:sz w:val="22"/>
          <w:szCs w:val="22"/>
          <w:shd w:val="clear" w:color="auto" w:fill="FFFFFF"/>
        </w:rPr>
      </w:pPr>
      <w:r>
        <w:rPr>
          <w:rFonts w:ascii="Calibri" w:hAnsi="Calibri" w:cs="Calibri"/>
          <w:spacing w:val="2"/>
          <w:sz w:val="22"/>
          <w:szCs w:val="22"/>
          <w:shd w:val="clear" w:color="auto" w:fill="FFFFFF"/>
        </w:rPr>
        <w:lastRenderedPageBreak/>
        <w:t>2</w:t>
      </w:r>
      <w:r w:rsidRPr="00980997">
        <w:rPr>
          <w:rFonts w:ascii="Calibri" w:hAnsi="Calibri" w:cs="Calibri"/>
          <w:spacing w:val="2"/>
          <w:sz w:val="22"/>
          <w:szCs w:val="22"/>
          <w:shd w:val="clear" w:color="auto" w:fill="FFFFFF"/>
        </w:rPr>
        <w:t xml:space="preserve">. Hirayama, T., Miki, A., and Nagasawa, H. Metallomics </w:t>
      </w:r>
      <w:r>
        <w:rPr>
          <w:rFonts w:ascii="Calibri" w:hAnsi="Calibri" w:cs="Calibri"/>
          <w:spacing w:val="2"/>
          <w:sz w:val="22"/>
          <w:szCs w:val="22"/>
          <w:shd w:val="clear" w:color="auto" w:fill="FFFFFF"/>
        </w:rPr>
        <w:t>(2019).</w:t>
      </w:r>
    </w:p>
    <w:p w14:paraId="45E9BDC7" w14:textId="77777777" w:rsidR="00B82C29" w:rsidRDefault="00B82C29" w:rsidP="008E46EB">
      <w:pPr>
        <w:jc w:val="both"/>
        <w:rPr>
          <w:rFonts w:ascii="Calibri" w:hAnsi="Calibri" w:cs="Calibri"/>
          <w:b/>
          <w:bCs/>
          <w:spacing w:val="2"/>
          <w:sz w:val="22"/>
          <w:szCs w:val="22"/>
          <w:shd w:val="clear" w:color="auto" w:fill="FFFFFF"/>
        </w:rPr>
      </w:pPr>
    </w:p>
    <w:p w14:paraId="26DDBA05" w14:textId="00B8A049" w:rsidR="00685EA5" w:rsidRPr="008E46EB" w:rsidRDefault="008E46EB" w:rsidP="008E46EB">
      <w:pPr>
        <w:jc w:val="both"/>
        <w:rPr>
          <w:rFonts w:ascii="Calibri" w:hAnsi="Calibri" w:cs="Calibri"/>
          <w:b/>
          <w:bCs/>
          <w:spacing w:val="2"/>
          <w:sz w:val="22"/>
          <w:szCs w:val="22"/>
          <w:shd w:val="clear" w:color="auto" w:fill="FFFFFF"/>
        </w:rPr>
      </w:pPr>
      <w:r>
        <w:rPr>
          <w:rFonts w:ascii="Calibri" w:hAnsi="Calibri" w:cs="Calibri"/>
          <w:b/>
          <w:bCs/>
          <w:spacing w:val="2"/>
          <w:sz w:val="22"/>
          <w:szCs w:val="22"/>
          <w:shd w:val="clear" w:color="auto" w:fill="FFFFFF"/>
        </w:rPr>
        <w:t xml:space="preserve">Acknowledgment: </w:t>
      </w:r>
      <w:r>
        <w:rPr>
          <w:rFonts w:ascii="Calibri" w:hAnsi="Calibri" w:cs="Calibri"/>
          <w:spacing w:val="2"/>
          <w:sz w:val="22"/>
          <w:szCs w:val="22"/>
          <w:shd w:val="clear" w:color="auto" w:fill="FFFFFF"/>
        </w:rPr>
        <w:t xml:space="preserve">The Authors acknowledge </w:t>
      </w:r>
      <w:r w:rsidRPr="006D1662">
        <w:rPr>
          <w:rFonts w:ascii="Calibri" w:hAnsi="Calibri" w:cs="Calibri"/>
          <w:spacing w:val="2"/>
          <w:sz w:val="22"/>
          <w:szCs w:val="22"/>
          <w:shd w:val="clear" w:color="auto" w:fill="FFFFFF"/>
        </w:rPr>
        <w:t>COST Action 21111</w:t>
      </w:r>
      <w:r>
        <w:rPr>
          <w:rFonts w:ascii="Calibri" w:hAnsi="Calibri" w:cs="Calibri"/>
          <w:spacing w:val="2"/>
          <w:sz w:val="22"/>
          <w:szCs w:val="22"/>
          <w:shd w:val="clear" w:color="auto" w:fill="FFFFFF"/>
        </w:rPr>
        <w:t xml:space="preserve"> </w:t>
      </w:r>
      <w:r>
        <w:rPr>
          <w:rFonts w:ascii="Calibri" w:hAnsi="Calibri" w:cs="Calibri"/>
          <w:sz w:val="22"/>
          <w:szCs w:val="22"/>
        </w:rPr>
        <w:t>for the financial support (STSM grant).</w:t>
      </w:r>
      <w:r w:rsidR="00685EA5">
        <w:rPr>
          <w:rFonts w:ascii="Calibri" w:hAnsi="Calibri" w:cs="Calibri"/>
          <w:bCs/>
          <w:color w:val="000000" w:themeColor="text1"/>
          <w:lang w:val="en-GB"/>
        </w:rPr>
        <w:br w:type="page"/>
      </w:r>
    </w:p>
    <w:p w14:paraId="00900EB5" w14:textId="77777777" w:rsidR="00685EA5" w:rsidRDefault="00685EA5" w:rsidP="00685EA5">
      <w:pPr>
        <w:jc w:val="center"/>
        <w:rPr>
          <w:rFonts w:ascii="Calibri" w:hAnsi="Calibri" w:cs="Calibri"/>
          <w:bCs/>
          <w:color w:val="000000" w:themeColor="text1"/>
          <w:lang w:val="en-GB"/>
        </w:rPr>
      </w:pPr>
    </w:p>
    <w:p w14:paraId="125EC6A4" w14:textId="3A08E06C" w:rsidR="00685EA5" w:rsidRPr="00685EA5" w:rsidRDefault="00685EA5" w:rsidP="00685EA5">
      <w:pPr>
        <w:jc w:val="center"/>
        <w:rPr>
          <w:rFonts w:ascii="Calibri" w:hAnsi="Calibri" w:cs="Calibri"/>
          <w:color w:val="000000"/>
          <w:sz w:val="22"/>
          <w:szCs w:val="22"/>
          <w:lang w:val="en-GB"/>
        </w:rPr>
      </w:pPr>
      <w:r w:rsidRPr="00685EA5">
        <w:rPr>
          <w:rFonts w:ascii="Calibri" w:hAnsi="Calibri" w:cs="Calibri"/>
          <w:b/>
          <w:bCs/>
          <w:color w:val="2E74B5" w:themeColor="accent5" w:themeShade="BF"/>
          <w:lang w:val="en-GB"/>
        </w:rPr>
        <w:t>Revealing the Mechanism of Action of the innovative antileishmanial agent H80 through fractionated MS Proteomics, untargeted metabolomics, and fluorescence imaging</w:t>
      </w:r>
    </w:p>
    <w:p w14:paraId="041B7AA1" w14:textId="77777777" w:rsidR="00685EA5" w:rsidRDefault="00685EA5" w:rsidP="00685EA5">
      <w:pPr>
        <w:jc w:val="center"/>
        <w:rPr>
          <w:rFonts w:ascii="Calibri" w:hAnsi="Calibri" w:cs="Calibri"/>
          <w:bCs/>
          <w:color w:val="000000" w:themeColor="text1"/>
          <w:highlight w:val="yellow"/>
          <w:u w:val="single"/>
          <w:lang w:val="en-GB"/>
        </w:rPr>
      </w:pPr>
    </w:p>
    <w:p w14:paraId="4D231B07" w14:textId="1A6B5BBC" w:rsidR="008E46EB" w:rsidRPr="00AE2F69" w:rsidRDefault="008E46EB" w:rsidP="008E46EB">
      <w:pPr>
        <w:spacing w:line="360" w:lineRule="auto"/>
        <w:jc w:val="center"/>
        <w:rPr>
          <w:rFonts w:ascii="Calibri" w:hAnsi="Calibri" w:cs="Calibri"/>
          <w:lang w:val="it-IT"/>
        </w:rPr>
      </w:pPr>
      <w:r w:rsidRPr="00AE2F69">
        <w:rPr>
          <w:rFonts w:ascii="Calibri" w:hAnsi="Calibri" w:cs="Calibri"/>
          <w:color w:val="000000"/>
          <w:u w:val="single"/>
          <w:lang w:val="it-IT"/>
        </w:rPr>
        <w:t>Lorenzo Tagliazucchi</w:t>
      </w:r>
      <w:r w:rsidRPr="00AE2F69">
        <w:rPr>
          <w:rFonts w:ascii="Calibri" w:hAnsi="Calibri" w:cs="Calibri"/>
          <w:color w:val="000000"/>
          <w:lang w:val="it-IT"/>
        </w:rPr>
        <w:t xml:space="preserve">, </w:t>
      </w:r>
      <w:r w:rsidRPr="00AE2F69">
        <w:rPr>
          <w:rFonts w:ascii="Calibri" w:hAnsi="Calibri" w:cs="Calibri"/>
          <w:color w:val="000000"/>
          <w:vertAlign w:val="superscript"/>
          <w:lang w:val="it-IT"/>
        </w:rPr>
        <w:t>a</w:t>
      </w:r>
      <w:r w:rsidRPr="00AE2F69">
        <w:rPr>
          <w:rFonts w:ascii="Calibri" w:hAnsi="Calibri" w:cs="Calibri"/>
          <w:color w:val="000000"/>
          <w:lang w:val="it-IT"/>
        </w:rPr>
        <w:t xml:space="preserve"> Giulia Malpezzi</w:t>
      </w:r>
      <w:r>
        <w:rPr>
          <w:rFonts w:ascii="Calibri" w:hAnsi="Calibri" w:cs="Calibri"/>
          <w:color w:val="000000"/>
          <w:lang w:val="it-IT"/>
        </w:rPr>
        <w:t xml:space="preserve"> </w:t>
      </w:r>
      <w:r w:rsidRPr="00AE2F69">
        <w:rPr>
          <w:rFonts w:ascii="Calibri" w:hAnsi="Calibri" w:cs="Calibri"/>
          <w:color w:val="000000"/>
          <w:vertAlign w:val="superscript"/>
          <w:lang w:val="it-IT"/>
        </w:rPr>
        <w:t>a</w:t>
      </w:r>
      <w:r w:rsidRPr="00AE2F69">
        <w:rPr>
          <w:rFonts w:ascii="Calibri" w:hAnsi="Calibri" w:cs="Calibri"/>
          <w:color w:val="000000"/>
          <w:lang w:val="it-IT"/>
        </w:rPr>
        <w:t xml:space="preserve">, </w:t>
      </w:r>
      <w:r>
        <w:rPr>
          <w:rFonts w:ascii="Calibri" w:hAnsi="Calibri" w:cs="Calibri"/>
          <w:color w:val="000000"/>
          <w:lang w:val="it-IT"/>
        </w:rPr>
        <w:t xml:space="preserve">Sara di Persio </w:t>
      </w:r>
      <w:r w:rsidRPr="00AE2F69">
        <w:rPr>
          <w:rFonts w:ascii="Calibri" w:hAnsi="Calibri" w:cs="Calibri"/>
          <w:color w:val="000000"/>
          <w:vertAlign w:val="superscript"/>
          <w:lang w:val="it-IT"/>
        </w:rPr>
        <w:t>a</w:t>
      </w:r>
      <w:r>
        <w:rPr>
          <w:rFonts w:ascii="Calibri" w:hAnsi="Calibri" w:cs="Calibri"/>
          <w:color w:val="000000"/>
          <w:lang w:val="it-IT"/>
        </w:rPr>
        <w:t>, Nuno Santarem</w:t>
      </w:r>
      <w:r w:rsidRPr="00AE2F69">
        <w:rPr>
          <w:rFonts w:ascii="Calibri" w:hAnsi="Calibri" w:cs="Calibri"/>
          <w:color w:val="000000"/>
          <w:vertAlign w:val="superscript"/>
          <w:lang w:val="it-IT"/>
        </w:rPr>
        <w:t xml:space="preserve"> </w:t>
      </w:r>
      <w:r>
        <w:rPr>
          <w:rFonts w:ascii="Calibri" w:hAnsi="Calibri" w:cs="Calibri"/>
          <w:color w:val="000000"/>
          <w:vertAlign w:val="superscript"/>
          <w:lang w:val="it-IT"/>
        </w:rPr>
        <w:t>b</w:t>
      </w:r>
      <w:r>
        <w:rPr>
          <w:rFonts w:ascii="Calibri" w:hAnsi="Calibri" w:cs="Calibri"/>
          <w:color w:val="000000"/>
          <w:lang w:val="it-IT"/>
        </w:rPr>
        <w:t>, Joana Tavares</w:t>
      </w:r>
      <w:r w:rsidRPr="00AE2F69">
        <w:rPr>
          <w:rFonts w:ascii="Calibri" w:hAnsi="Calibri" w:cs="Calibri"/>
          <w:color w:val="000000"/>
          <w:vertAlign w:val="superscript"/>
          <w:lang w:val="it-IT"/>
        </w:rPr>
        <w:t xml:space="preserve"> </w:t>
      </w:r>
      <w:r>
        <w:rPr>
          <w:rFonts w:ascii="Calibri" w:hAnsi="Calibri" w:cs="Calibri"/>
          <w:color w:val="000000"/>
          <w:vertAlign w:val="superscript"/>
          <w:lang w:val="it-IT"/>
        </w:rPr>
        <w:t>b</w:t>
      </w:r>
      <w:r>
        <w:rPr>
          <w:rFonts w:ascii="Calibri" w:hAnsi="Calibri" w:cs="Calibri"/>
          <w:color w:val="000000"/>
          <w:lang w:val="it-IT"/>
        </w:rPr>
        <w:t>, Theodora Katsila</w:t>
      </w:r>
      <w:r w:rsidRPr="0013403D">
        <w:rPr>
          <w:rFonts w:ascii="Calibri" w:hAnsi="Calibri" w:cs="Calibri"/>
          <w:color w:val="000000"/>
          <w:vertAlign w:val="superscript"/>
          <w:lang w:val="it-IT"/>
        </w:rPr>
        <w:t xml:space="preserve"> </w:t>
      </w:r>
      <w:r>
        <w:rPr>
          <w:rFonts w:ascii="Calibri" w:hAnsi="Calibri" w:cs="Calibri"/>
          <w:color w:val="000000"/>
          <w:vertAlign w:val="superscript"/>
          <w:lang w:val="it-IT"/>
        </w:rPr>
        <w:t>c</w:t>
      </w:r>
      <w:r>
        <w:rPr>
          <w:rFonts w:ascii="Calibri" w:hAnsi="Calibri" w:cs="Calibri"/>
          <w:color w:val="000000"/>
          <w:lang w:val="it-IT"/>
        </w:rPr>
        <w:t xml:space="preserve"> , Alberto Venturelli</w:t>
      </w:r>
      <w:r w:rsidRPr="0013403D">
        <w:rPr>
          <w:rFonts w:ascii="Calibri" w:hAnsi="Calibri" w:cs="Calibri"/>
          <w:color w:val="000000"/>
          <w:vertAlign w:val="superscript"/>
          <w:lang w:val="it-IT"/>
        </w:rPr>
        <w:t xml:space="preserve"> </w:t>
      </w:r>
      <w:r w:rsidRPr="00AE2F69">
        <w:rPr>
          <w:rFonts w:ascii="Calibri" w:hAnsi="Calibri" w:cs="Calibri"/>
          <w:color w:val="000000"/>
          <w:vertAlign w:val="superscript"/>
          <w:lang w:val="it-IT"/>
        </w:rPr>
        <w:t>a</w:t>
      </w:r>
      <w:r>
        <w:rPr>
          <w:rFonts w:ascii="Calibri" w:hAnsi="Calibri" w:cs="Calibri"/>
          <w:color w:val="000000"/>
          <w:lang w:val="it-IT"/>
        </w:rPr>
        <w:t>, Anabela Cordeiro-da-Silva</w:t>
      </w:r>
      <w:r w:rsidRPr="00AE2F69">
        <w:rPr>
          <w:rFonts w:ascii="Calibri" w:hAnsi="Calibri" w:cs="Calibri"/>
          <w:color w:val="000000"/>
          <w:vertAlign w:val="superscript"/>
          <w:lang w:val="it-IT"/>
        </w:rPr>
        <w:t xml:space="preserve"> </w:t>
      </w:r>
      <w:r>
        <w:rPr>
          <w:rFonts w:ascii="Calibri" w:hAnsi="Calibri" w:cs="Calibri"/>
          <w:color w:val="000000"/>
          <w:vertAlign w:val="superscript"/>
          <w:lang w:val="it-IT"/>
        </w:rPr>
        <w:t>b</w:t>
      </w:r>
      <w:r>
        <w:rPr>
          <w:rFonts w:ascii="Calibri" w:hAnsi="Calibri" w:cs="Calibri"/>
          <w:color w:val="000000"/>
          <w:lang w:val="it-IT"/>
        </w:rPr>
        <w:t>, Glauco Ponterini</w:t>
      </w:r>
      <w:r w:rsidRPr="00C93F1D">
        <w:rPr>
          <w:rFonts w:ascii="Calibri" w:hAnsi="Calibri" w:cs="Calibri"/>
          <w:color w:val="000000"/>
          <w:vertAlign w:val="superscript"/>
          <w:lang w:val="it-IT"/>
        </w:rPr>
        <w:t xml:space="preserve"> </w:t>
      </w:r>
      <w:r>
        <w:rPr>
          <w:rFonts w:ascii="Calibri" w:hAnsi="Calibri" w:cs="Calibri"/>
          <w:color w:val="000000"/>
          <w:vertAlign w:val="superscript"/>
          <w:lang w:val="it-IT"/>
        </w:rPr>
        <w:t>a</w:t>
      </w:r>
      <w:r>
        <w:rPr>
          <w:rFonts w:ascii="Calibri" w:hAnsi="Calibri" w:cs="Calibri"/>
          <w:color w:val="000000"/>
          <w:lang w:val="it-IT"/>
        </w:rPr>
        <w:t>, Maria Paola Costi</w:t>
      </w:r>
      <w:r w:rsidRPr="00AE2F69">
        <w:rPr>
          <w:rFonts w:ascii="Calibri" w:hAnsi="Calibri" w:cs="Calibri"/>
          <w:color w:val="000000"/>
          <w:vertAlign w:val="superscript"/>
          <w:lang w:val="it-IT"/>
        </w:rPr>
        <w:t>a</w:t>
      </w:r>
    </w:p>
    <w:p w14:paraId="56D0B010" w14:textId="77777777" w:rsidR="008E46EB" w:rsidRPr="00B82C29" w:rsidRDefault="008E46EB" w:rsidP="008E46EB">
      <w:pPr>
        <w:jc w:val="center"/>
        <w:rPr>
          <w:rFonts w:ascii="Calibri" w:hAnsi="Calibri" w:cs="Calibri"/>
          <w:color w:val="000000"/>
          <w:sz w:val="22"/>
          <w:szCs w:val="22"/>
          <w:lang w:val="en-GB"/>
        </w:rPr>
      </w:pPr>
      <w:r w:rsidRPr="00B82C29">
        <w:rPr>
          <w:rFonts w:ascii="Calibri" w:hAnsi="Calibri" w:cs="Calibri"/>
          <w:color w:val="000000"/>
          <w:sz w:val="22"/>
          <w:szCs w:val="22"/>
          <w:vertAlign w:val="superscript"/>
          <w:lang w:val="en-GB"/>
        </w:rPr>
        <w:t xml:space="preserve">a </w:t>
      </w:r>
      <w:r w:rsidRPr="00B82C29">
        <w:rPr>
          <w:rFonts w:ascii="Calibri" w:hAnsi="Calibri" w:cs="Calibri"/>
          <w:color w:val="000000"/>
          <w:sz w:val="22"/>
          <w:szCs w:val="22"/>
          <w:lang w:val="en-GB"/>
        </w:rPr>
        <w:t xml:space="preserve">University of Modena and Reggio Emilia, Italy ; </w:t>
      </w:r>
      <w:r w:rsidRPr="00B82C29">
        <w:rPr>
          <w:rFonts w:ascii="Calibri" w:hAnsi="Calibri" w:cs="Calibri"/>
          <w:color w:val="000000"/>
          <w:sz w:val="22"/>
          <w:szCs w:val="22"/>
          <w:vertAlign w:val="superscript"/>
          <w:lang w:val="en-GB"/>
        </w:rPr>
        <w:t xml:space="preserve">b </w:t>
      </w:r>
      <w:r w:rsidRPr="00B82C29">
        <w:rPr>
          <w:rFonts w:ascii="Calibri" w:hAnsi="Calibri" w:cs="Calibri"/>
          <w:color w:val="000000"/>
          <w:sz w:val="22"/>
          <w:szCs w:val="22"/>
          <w:lang w:val="en-GB"/>
        </w:rPr>
        <w:t xml:space="preserve">University of Porto, Portugal; </w:t>
      </w:r>
      <w:r w:rsidRPr="00B82C29">
        <w:rPr>
          <w:rFonts w:ascii="Calibri" w:hAnsi="Calibri" w:cs="Calibri"/>
          <w:color w:val="000000"/>
          <w:sz w:val="22"/>
          <w:szCs w:val="22"/>
          <w:vertAlign w:val="superscript"/>
          <w:lang w:val="en-GB"/>
        </w:rPr>
        <w:t>c</w:t>
      </w:r>
      <w:r w:rsidRPr="00B82C29">
        <w:rPr>
          <w:rFonts w:ascii="Calibri" w:hAnsi="Calibri" w:cs="Calibri"/>
          <w:color w:val="000000"/>
          <w:sz w:val="22"/>
          <w:szCs w:val="22"/>
          <w:lang w:val="en-GB"/>
        </w:rPr>
        <w:t xml:space="preserve"> National Hellenic Research Foundation, Athens, Greece</w:t>
      </w:r>
    </w:p>
    <w:p w14:paraId="1EFF2B75" w14:textId="77777777" w:rsidR="008E46EB" w:rsidRPr="00B82C29" w:rsidRDefault="008E46EB" w:rsidP="008E46EB">
      <w:pPr>
        <w:jc w:val="center"/>
        <w:rPr>
          <w:rFonts w:ascii="Calibri" w:hAnsi="Calibri" w:cs="Calibri"/>
          <w:color w:val="000000"/>
          <w:sz w:val="22"/>
          <w:szCs w:val="22"/>
          <w:lang w:val="en-GB"/>
        </w:rPr>
      </w:pPr>
    </w:p>
    <w:p w14:paraId="3E32F295" w14:textId="77777777" w:rsidR="008E46EB" w:rsidRPr="00B82C29" w:rsidRDefault="008E46EB" w:rsidP="008E46EB">
      <w:pPr>
        <w:jc w:val="center"/>
        <w:rPr>
          <w:rFonts w:ascii="Calibri" w:hAnsi="Calibri" w:cs="Calibri"/>
          <w:color w:val="000000"/>
          <w:sz w:val="22"/>
          <w:szCs w:val="22"/>
        </w:rPr>
      </w:pPr>
      <w:r w:rsidRPr="00B82C29">
        <w:rPr>
          <w:rFonts w:ascii="Calibri" w:hAnsi="Calibri" w:cs="Calibri"/>
          <w:color w:val="000000"/>
          <w:sz w:val="22"/>
          <w:szCs w:val="22"/>
        </w:rPr>
        <w:t>Lorenzo.tagliazucchi@unimore.it</w:t>
      </w:r>
    </w:p>
    <w:p w14:paraId="4391181E" w14:textId="77777777" w:rsidR="008E46EB" w:rsidRPr="00B002F8" w:rsidRDefault="008E46EB" w:rsidP="008E46EB">
      <w:pPr>
        <w:jc w:val="center"/>
        <w:rPr>
          <w:rFonts w:ascii="Calibri" w:hAnsi="Calibri" w:cs="Calibri"/>
        </w:rPr>
      </w:pPr>
    </w:p>
    <w:p w14:paraId="30571682" w14:textId="77777777" w:rsidR="008E46EB" w:rsidRPr="00AE2F69" w:rsidRDefault="008E46EB" w:rsidP="008E46EB">
      <w:pPr>
        <w:jc w:val="both"/>
        <w:rPr>
          <w:rFonts w:ascii="Calibri" w:hAnsi="Calibri" w:cs="Calibri"/>
        </w:rPr>
      </w:pPr>
      <w:r w:rsidRPr="00B82C29">
        <w:rPr>
          <w:rFonts w:ascii="Calibri" w:hAnsi="Calibri" w:cs="Calibri"/>
          <w:i/>
          <w:iCs/>
        </w:rPr>
        <w:t>Leishmania infantum</w:t>
      </w:r>
      <w:r w:rsidRPr="00AE2F69">
        <w:rPr>
          <w:rFonts w:ascii="Calibri" w:hAnsi="Calibri" w:cs="Calibri"/>
        </w:rPr>
        <w:t xml:space="preserve"> is a parasite responsible for zoonotic leishmaniases, affecting humans and dogs, particularly in the Mediterranean Basin, the Middle East, and Central Asia. The disease manifests as cutaneous leishmaniasis (CL) or visceral leishmaniasis (VL), with VL potentially being fatal if untreated, often due to complications like hemorrhage or infections, especially in HIV co-infected patients. Current treatments include amphotericin B, miltefosine, and antimonials, though these options are limited by toxicity, cost, and increasing drug resistance</w:t>
      </w:r>
      <w:r>
        <w:rPr>
          <w:rFonts w:ascii="Calibri" w:hAnsi="Calibri" w:cs="Calibri"/>
        </w:rPr>
        <w:t xml:space="preserve"> [1]</w:t>
      </w:r>
      <w:r w:rsidRPr="00AE2F69">
        <w:rPr>
          <w:rFonts w:ascii="Calibri" w:hAnsi="Calibri" w:cs="Calibri"/>
        </w:rPr>
        <w:t>.</w:t>
      </w:r>
      <w:r>
        <w:rPr>
          <w:rFonts w:ascii="Calibri" w:hAnsi="Calibri" w:cs="Calibri"/>
        </w:rPr>
        <w:t xml:space="preserve"> To this aim, MS based omics technologies, in particular proteomics and metabolomics, represent key tools to be integrated in the modern Medicinal Chemistry tools to speed up the development of innovative antimicrobial agents able to overcome drug resistance issues.</w:t>
      </w:r>
    </w:p>
    <w:p w14:paraId="18074A60" w14:textId="77777777" w:rsidR="008E46EB" w:rsidRDefault="008E46EB" w:rsidP="008E46EB">
      <w:pPr>
        <w:jc w:val="both"/>
        <w:rPr>
          <w:rFonts w:ascii="Calibri" w:hAnsi="Calibri" w:cs="Calibri"/>
        </w:rPr>
      </w:pPr>
      <w:r w:rsidRPr="00AE2F69">
        <w:rPr>
          <w:rFonts w:ascii="Calibri" w:hAnsi="Calibri" w:cs="Calibri"/>
        </w:rPr>
        <w:t xml:space="preserve">Drug resistance in </w:t>
      </w:r>
      <w:r w:rsidRPr="00AE2F69">
        <w:rPr>
          <w:rFonts w:ascii="Calibri" w:hAnsi="Calibri" w:cs="Calibri"/>
          <w:i/>
          <w:iCs/>
        </w:rPr>
        <w:t>L. infantum</w:t>
      </w:r>
      <w:r w:rsidRPr="00AE2F69">
        <w:rPr>
          <w:rFonts w:ascii="Calibri" w:hAnsi="Calibri" w:cs="Calibri"/>
        </w:rPr>
        <w:t xml:space="preserve"> arises through mechanisms such as reduced drug uptake, enhanced efflux pumps, mutations in drug targets, and metabolic adaptations, which compromise the efficacy of existing treatments. To address these challenges, a novel benzothiophene-flavonol derivative, </w:t>
      </w:r>
      <w:r w:rsidRPr="00D12257">
        <w:rPr>
          <w:rFonts w:ascii="Calibri" w:hAnsi="Calibri" w:cs="Calibri"/>
          <w:b/>
          <w:bCs/>
        </w:rPr>
        <w:t>H80</w:t>
      </w:r>
      <w:r w:rsidRPr="00AE2F69">
        <w:rPr>
          <w:rFonts w:ascii="Calibri" w:hAnsi="Calibri" w:cs="Calibri"/>
        </w:rPr>
        <w:t>, has been identified</w:t>
      </w:r>
      <w:r>
        <w:rPr>
          <w:rFonts w:ascii="Calibri" w:hAnsi="Calibri" w:cs="Calibri"/>
        </w:rPr>
        <w:t xml:space="preserve"> [2]</w:t>
      </w:r>
      <w:r w:rsidRPr="00AE2F69">
        <w:rPr>
          <w:rFonts w:ascii="Calibri" w:hAnsi="Calibri" w:cs="Calibri"/>
        </w:rPr>
        <w:t>. This compound exhibits broad-spectrum anti-leishmanial activity, comparable to miltefosine but with lower toxicity</w:t>
      </w:r>
      <w:r>
        <w:rPr>
          <w:rFonts w:ascii="Calibri" w:hAnsi="Calibri" w:cs="Calibri"/>
        </w:rPr>
        <w:t xml:space="preserve"> [3]</w:t>
      </w:r>
      <w:r w:rsidRPr="00AE2F69">
        <w:rPr>
          <w:rFonts w:ascii="Calibri" w:hAnsi="Calibri" w:cs="Calibri"/>
        </w:rPr>
        <w:t xml:space="preserve">. </w:t>
      </w:r>
      <w:r>
        <w:rPr>
          <w:rFonts w:ascii="Calibri" w:hAnsi="Calibri" w:cs="Calibri"/>
        </w:rPr>
        <w:t>By combining</w:t>
      </w:r>
      <w:r w:rsidRPr="00AE2F69">
        <w:rPr>
          <w:rFonts w:ascii="Calibri" w:hAnsi="Calibri" w:cs="Calibri"/>
        </w:rPr>
        <w:t xml:space="preserve"> fluorescence spectroscopy</w:t>
      </w:r>
      <w:r>
        <w:rPr>
          <w:rFonts w:ascii="Calibri" w:hAnsi="Calibri" w:cs="Calibri"/>
        </w:rPr>
        <w:t>, MS</w:t>
      </w:r>
      <w:r w:rsidRPr="00AE2F69">
        <w:rPr>
          <w:rFonts w:ascii="Calibri" w:hAnsi="Calibri" w:cs="Calibri"/>
        </w:rPr>
        <w:t xml:space="preserve"> proteomics</w:t>
      </w:r>
      <w:r>
        <w:rPr>
          <w:rFonts w:ascii="Calibri" w:hAnsi="Calibri" w:cs="Calibri"/>
        </w:rPr>
        <w:t xml:space="preserve"> and untargeted metabolomics</w:t>
      </w:r>
      <w:r w:rsidRPr="00AE2F69">
        <w:rPr>
          <w:rFonts w:ascii="Calibri" w:hAnsi="Calibri" w:cs="Calibri"/>
        </w:rPr>
        <w:t>, researchers have explored H80's subcellular effects and its potential mechanism of action, aiming to clarify its biochemical impact and accelerate drug discovery efforts</w:t>
      </w:r>
      <w:r>
        <w:rPr>
          <w:rFonts w:ascii="Calibri" w:hAnsi="Calibri" w:cs="Calibri"/>
        </w:rPr>
        <w:t xml:space="preserve">. By whole cell, fractionated MS-Proteomics, we gained information about the differentially expressed proteins induced bt H80 administration, including the main cell compartments (cytosol, mitochondria, and membranes) in which H80 action and metabolic response take place. As matter of facts, while Miltefosine proved that its main action is expleted in membranaceuos compartment, which is </w:t>
      </w:r>
      <w:r>
        <w:rPr>
          <w:rFonts w:ascii="Calibri" w:hAnsi="Calibri" w:cs="Calibri"/>
        </w:rPr>
        <w:lastRenderedPageBreak/>
        <w:t xml:space="preserve">consistent with its lipidic mechanism of action, </w:t>
      </w:r>
      <w:r w:rsidRPr="00D12257">
        <w:rPr>
          <w:rFonts w:ascii="Calibri" w:hAnsi="Calibri" w:cs="Calibri"/>
          <w:b/>
          <w:bCs/>
        </w:rPr>
        <w:t>H80</w:t>
      </w:r>
      <w:r>
        <w:rPr>
          <w:rFonts w:ascii="Calibri" w:hAnsi="Calibri" w:cs="Calibri"/>
        </w:rPr>
        <w:t xml:space="preserve"> mainly acts at the cytosolic level, with a specific affection of the energetic metabolism and TCA cycle. Fluorescence internalization assays were also conducted on THP-1 cells infected with </w:t>
      </w:r>
      <w:r w:rsidRPr="0013403D">
        <w:rPr>
          <w:rFonts w:ascii="Calibri" w:hAnsi="Calibri" w:cs="Calibri"/>
          <w:i/>
          <w:iCs/>
        </w:rPr>
        <w:t>L. infantum</w:t>
      </w:r>
      <w:r>
        <w:rPr>
          <w:rFonts w:ascii="Calibri" w:hAnsi="Calibri" w:cs="Calibri"/>
        </w:rPr>
        <w:t xml:space="preserve"> promastigotes, and revealed that captation mechanism takes place with endocytosis, and its accumulation in the cytosolic compartment. Moreover, untargeted MS Metabolomics data currently under analysis will help to better understand H80 mechanism of action and off-target effect, to provide a complete target engagement analysis to be exploited in lead optimization studies. </w:t>
      </w:r>
    </w:p>
    <w:p w14:paraId="72AF56E7" w14:textId="77777777" w:rsidR="008E46EB" w:rsidRDefault="008E46EB" w:rsidP="008E46EB">
      <w:pPr>
        <w:jc w:val="both"/>
        <w:rPr>
          <w:rFonts w:ascii="Calibri" w:hAnsi="Calibri" w:cs="Calibri"/>
        </w:rPr>
      </w:pPr>
    </w:p>
    <w:p w14:paraId="4BA5CB69" w14:textId="77777777" w:rsidR="008E46EB" w:rsidRPr="00D12257" w:rsidRDefault="008E46EB" w:rsidP="008E46EB">
      <w:pPr>
        <w:rPr>
          <w:rFonts w:ascii="Calibri" w:hAnsi="Calibri" w:cs="Calibri"/>
          <w:b/>
          <w:bCs/>
          <w:sz w:val="22"/>
          <w:szCs w:val="22"/>
          <w:lang w:val="it-IT"/>
        </w:rPr>
      </w:pPr>
      <w:r w:rsidRPr="00D12257">
        <w:rPr>
          <w:rFonts w:ascii="Calibri" w:hAnsi="Calibri" w:cs="Calibri"/>
          <w:b/>
          <w:bCs/>
          <w:sz w:val="22"/>
          <w:szCs w:val="22"/>
          <w:lang w:val="it-IT"/>
        </w:rPr>
        <w:t>References</w:t>
      </w:r>
    </w:p>
    <w:p w14:paraId="32795FC6" w14:textId="77777777" w:rsidR="008E46EB" w:rsidRDefault="008E46EB" w:rsidP="008E46EB">
      <w:pPr>
        <w:jc w:val="both"/>
        <w:rPr>
          <w:rFonts w:ascii="Calibri" w:hAnsi="Calibri" w:cs="Calibri"/>
          <w:sz w:val="22"/>
          <w:szCs w:val="22"/>
          <w:lang w:val="hu-HU"/>
        </w:rPr>
      </w:pPr>
      <w:r>
        <w:rPr>
          <w:rFonts w:ascii="Calibri" w:hAnsi="Calibri" w:cs="Calibri"/>
          <w:sz w:val="22"/>
          <w:szCs w:val="22"/>
          <w:lang w:val="hu-HU"/>
        </w:rPr>
        <w:t>[1]</w:t>
      </w:r>
      <w:r w:rsidRPr="00D12257">
        <w:rPr>
          <w:lang w:val="it-IT"/>
        </w:rPr>
        <w:t xml:space="preserve"> </w:t>
      </w:r>
      <w:r w:rsidRPr="0013403D">
        <w:rPr>
          <w:rFonts w:ascii="Calibri" w:hAnsi="Calibri" w:cs="Calibri"/>
          <w:sz w:val="22"/>
          <w:szCs w:val="22"/>
          <w:lang w:val="hu-HU"/>
        </w:rPr>
        <w:t xml:space="preserve">Tagliazucchi L, </w:t>
      </w:r>
      <w:r w:rsidRPr="0013403D">
        <w:rPr>
          <w:rFonts w:ascii="Calibri" w:hAnsi="Calibri" w:cs="Calibri"/>
          <w:i/>
          <w:iCs/>
          <w:sz w:val="22"/>
          <w:szCs w:val="22"/>
          <w:lang w:val="hu-HU"/>
        </w:rPr>
        <w:t>et al</w:t>
      </w:r>
      <w:r>
        <w:rPr>
          <w:rFonts w:ascii="Calibri" w:hAnsi="Calibri" w:cs="Calibri"/>
          <w:sz w:val="22"/>
          <w:szCs w:val="22"/>
          <w:lang w:val="hu-HU"/>
        </w:rPr>
        <w:t>.</w:t>
      </w:r>
      <w:r w:rsidRPr="0013403D">
        <w:rPr>
          <w:rFonts w:ascii="Calibri" w:hAnsi="Calibri" w:cs="Calibri"/>
          <w:sz w:val="22"/>
          <w:szCs w:val="22"/>
          <w:lang w:val="hu-HU"/>
        </w:rPr>
        <w:t xml:space="preserve"> Label-Free Mass Spectrometry Proteomics Reveals Different Pathways Modulated in THP-1 Cells Infected with Therapeutic Failure and Drug Resistance Leishmania infantum Clinical Isolates. </w:t>
      </w:r>
      <w:r w:rsidRPr="0013403D">
        <w:rPr>
          <w:rFonts w:ascii="Calibri" w:hAnsi="Calibri" w:cs="Calibri"/>
          <w:i/>
          <w:iCs/>
          <w:sz w:val="22"/>
          <w:szCs w:val="22"/>
          <w:lang w:val="hu-HU"/>
        </w:rPr>
        <w:t>ACS Infect Dis.</w:t>
      </w:r>
      <w:r w:rsidRPr="0013403D">
        <w:rPr>
          <w:rFonts w:ascii="Calibri" w:hAnsi="Calibri" w:cs="Calibri"/>
          <w:sz w:val="22"/>
          <w:szCs w:val="22"/>
          <w:lang w:val="hu-HU"/>
        </w:rPr>
        <w:t xml:space="preserve"> </w:t>
      </w:r>
      <w:r w:rsidRPr="0013403D">
        <w:rPr>
          <w:rFonts w:ascii="Calibri" w:hAnsi="Calibri" w:cs="Calibri"/>
          <w:b/>
          <w:bCs/>
          <w:sz w:val="22"/>
          <w:szCs w:val="22"/>
          <w:lang w:val="hu-HU"/>
        </w:rPr>
        <w:t>2023</w:t>
      </w:r>
      <w:r w:rsidRPr="0013403D">
        <w:rPr>
          <w:rFonts w:ascii="Calibri" w:hAnsi="Calibri" w:cs="Calibri"/>
          <w:sz w:val="22"/>
          <w:szCs w:val="22"/>
          <w:lang w:val="hu-HU"/>
        </w:rPr>
        <w:t xml:space="preserve"> Mar 10;9(3):470-485. doi: 10.1021/acsinfecdis.2c00457. </w:t>
      </w:r>
    </w:p>
    <w:p w14:paraId="755C0698" w14:textId="77777777" w:rsidR="008E46EB" w:rsidRDefault="008E46EB" w:rsidP="008E46EB">
      <w:pPr>
        <w:jc w:val="both"/>
        <w:rPr>
          <w:rFonts w:ascii="Calibri" w:hAnsi="Calibri" w:cs="Calibri"/>
          <w:spacing w:val="2"/>
          <w:sz w:val="22"/>
          <w:szCs w:val="22"/>
          <w:shd w:val="clear" w:color="auto" w:fill="FFFFFF"/>
        </w:rPr>
      </w:pPr>
      <w:r>
        <w:rPr>
          <w:rFonts w:ascii="Calibri" w:hAnsi="Calibri" w:cs="Calibri"/>
          <w:sz w:val="22"/>
          <w:szCs w:val="22"/>
          <w:lang w:val="hu-HU"/>
        </w:rPr>
        <w:t xml:space="preserve">[2] </w:t>
      </w:r>
      <w:r w:rsidRPr="00AE2F69">
        <w:rPr>
          <w:rFonts w:ascii="Calibri" w:hAnsi="Calibri" w:cs="Calibri"/>
          <w:sz w:val="22"/>
          <w:szCs w:val="22"/>
          <w:lang w:val="hu-HU"/>
        </w:rPr>
        <w:t xml:space="preserve">Borsari C, </w:t>
      </w:r>
      <w:r w:rsidRPr="00AE2F69">
        <w:rPr>
          <w:rFonts w:ascii="Calibri" w:hAnsi="Calibri" w:cs="Calibri"/>
          <w:i/>
          <w:iCs/>
          <w:sz w:val="22"/>
          <w:szCs w:val="22"/>
          <w:lang w:val="hu-HU"/>
        </w:rPr>
        <w:t>et al</w:t>
      </w:r>
      <w:r>
        <w:rPr>
          <w:rFonts w:ascii="Calibri" w:hAnsi="Calibri" w:cs="Calibri"/>
          <w:sz w:val="22"/>
          <w:szCs w:val="22"/>
          <w:lang w:val="hu-HU"/>
        </w:rPr>
        <w:t>.</w:t>
      </w:r>
      <w:r w:rsidRPr="00AE2F69">
        <w:rPr>
          <w:rFonts w:ascii="Calibri" w:hAnsi="Calibri" w:cs="Calibri"/>
          <w:sz w:val="22"/>
          <w:szCs w:val="22"/>
          <w:lang w:val="hu-HU"/>
        </w:rPr>
        <w:t xml:space="preserve"> Profiling of Flavonol Derivatives for the Development of Antitrypanosomatidic Drugs. </w:t>
      </w:r>
      <w:r w:rsidRPr="00AE2F69">
        <w:rPr>
          <w:rFonts w:ascii="Calibri" w:hAnsi="Calibri" w:cs="Calibri"/>
          <w:i/>
          <w:iCs/>
          <w:sz w:val="22"/>
          <w:szCs w:val="22"/>
          <w:lang w:val="hu-HU"/>
        </w:rPr>
        <w:t>J Med Chem</w:t>
      </w:r>
      <w:r w:rsidRPr="00AE2F69">
        <w:rPr>
          <w:rFonts w:ascii="Calibri" w:hAnsi="Calibri" w:cs="Calibri"/>
          <w:sz w:val="22"/>
          <w:szCs w:val="22"/>
          <w:lang w:val="hu-HU"/>
        </w:rPr>
        <w:t xml:space="preserve">. </w:t>
      </w:r>
      <w:r w:rsidRPr="00AE2F69">
        <w:rPr>
          <w:rFonts w:ascii="Calibri" w:hAnsi="Calibri" w:cs="Calibri"/>
          <w:b/>
          <w:bCs/>
          <w:sz w:val="22"/>
          <w:szCs w:val="22"/>
          <w:lang w:val="hu-HU"/>
        </w:rPr>
        <w:t>2016</w:t>
      </w:r>
      <w:r w:rsidRPr="00AE2F69">
        <w:rPr>
          <w:rFonts w:ascii="Calibri" w:hAnsi="Calibri" w:cs="Calibri"/>
          <w:sz w:val="22"/>
          <w:szCs w:val="22"/>
          <w:lang w:val="hu-HU"/>
        </w:rPr>
        <w:t xml:space="preserve"> Aug 25;59(16):7598-616. doi: 10.1021/acs.jmedchem.6b00698.</w:t>
      </w:r>
    </w:p>
    <w:p w14:paraId="6675E2FD" w14:textId="77777777" w:rsidR="008E46EB" w:rsidRDefault="008E46EB" w:rsidP="008E46EB">
      <w:pPr>
        <w:jc w:val="both"/>
        <w:rPr>
          <w:rFonts w:ascii="Calibri" w:hAnsi="Calibri" w:cs="Calibri"/>
          <w:spacing w:val="2"/>
          <w:sz w:val="22"/>
          <w:szCs w:val="22"/>
          <w:shd w:val="clear" w:color="auto" w:fill="FFFFFF"/>
        </w:rPr>
      </w:pPr>
      <w:r>
        <w:rPr>
          <w:rFonts w:ascii="Calibri" w:hAnsi="Calibri" w:cs="Calibri"/>
          <w:spacing w:val="2"/>
          <w:sz w:val="22"/>
          <w:szCs w:val="22"/>
          <w:shd w:val="clear" w:color="auto" w:fill="FFFFFF"/>
        </w:rPr>
        <w:t xml:space="preserve">[3] </w:t>
      </w:r>
      <w:r w:rsidRPr="00AE2F69">
        <w:rPr>
          <w:rFonts w:ascii="Calibri" w:hAnsi="Calibri" w:cs="Calibri"/>
          <w:spacing w:val="2"/>
          <w:sz w:val="22"/>
          <w:szCs w:val="22"/>
          <w:shd w:val="clear" w:color="auto" w:fill="FFFFFF"/>
        </w:rPr>
        <w:t xml:space="preserve">Borsari C, </w:t>
      </w:r>
      <w:r w:rsidRPr="00AE2F69">
        <w:rPr>
          <w:rFonts w:ascii="Calibri" w:hAnsi="Calibri" w:cs="Calibri"/>
          <w:i/>
          <w:iCs/>
          <w:spacing w:val="2"/>
          <w:sz w:val="22"/>
          <w:szCs w:val="22"/>
          <w:shd w:val="clear" w:color="auto" w:fill="FFFFFF"/>
        </w:rPr>
        <w:t>et al</w:t>
      </w:r>
      <w:r>
        <w:rPr>
          <w:rFonts w:ascii="Calibri" w:hAnsi="Calibri" w:cs="Calibri"/>
          <w:spacing w:val="2"/>
          <w:sz w:val="22"/>
          <w:szCs w:val="22"/>
          <w:shd w:val="clear" w:color="auto" w:fill="FFFFFF"/>
        </w:rPr>
        <w:t>.</w:t>
      </w:r>
      <w:r w:rsidRPr="00AE2F69">
        <w:rPr>
          <w:rFonts w:ascii="Calibri" w:hAnsi="Calibri" w:cs="Calibri"/>
          <w:spacing w:val="2"/>
          <w:sz w:val="22"/>
          <w:szCs w:val="22"/>
          <w:shd w:val="clear" w:color="auto" w:fill="FFFFFF"/>
        </w:rPr>
        <w:t xml:space="preserve"> Discovery of a benzothiophene-flavonol halting miltefosine and antimonial drug resistance in Leishmania parasites through the application of medicinal chemistry, screening and genomics. </w:t>
      </w:r>
      <w:r w:rsidRPr="00AE2F69">
        <w:rPr>
          <w:rFonts w:ascii="Calibri" w:hAnsi="Calibri" w:cs="Calibri"/>
          <w:i/>
          <w:iCs/>
          <w:spacing w:val="2"/>
          <w:sz w:val="22"/>
          <w:szCs w:val="22"/>
          <w:shd w:val="clear" w:color="auto" w:fill="FFFFFF"/>
        </w:rPr>
        <w:t>Eur J Med Chem</w:t>
      </w:r>
      <w:r w:rsidRPr="00AE2F69">
        <w:rPr>
          <w:rFonts w:ascii="Calibri" w:hAnsi="Calibri" w:cs="Calibri"/>
          <w:spacing w:val="2"/>
          <w:sz w:val="22"/>
          <w:szCs w:val="22"/>
          <w:shd w:val="clear" w:color="auto" w:fill="FFFFFF"/>
        </w:rPr>
        <w:t xml:space="preserve">. </w:t>
      </w:r>
      <w:r w:rsidRPr="00AE2F69">
        <w:rPr>
          <w:rFonts w:ascii="Calibri" w:hAnsi="Calibri" w:cs="Calibri"/>
          <w:b/>
          <w:bCs/>
          <w:spacing w:val="2"/>
          <w:sz w:val="22"/>
          <w:szCs w:val="22"/>
          <w:shd w:val="clear" w:color="auto" w:fill="FFFFFF"/>
        </w:rPr>
        <w:t>2019</w:t>
      </w:r>
      <w:r w:rsidRPr="00AE2F69">
        <w:rPr>
          <w:rFonts w:ascii="Calibri" w:hAnsi="Calibri" w:cs="Calibri"/>
          <w:spacing w:val="2"/>
          <w:sz w:val="22"/>
          <w:szCs w:val="22"/>
          <w:shd w:val="clear" w:color="auto" w:fill="FFFFFF"/>
        </w:rPr>
        <w:t xml:space="preserve"> Dec 1;183:111676.</w:t>
      </w:r>
    </w:p>
    <w:p w14:paraId="5391E1CB" w14:textId="77777777" w:rsidR="008E46EB" w:rsidRDefault="008E46EB" w:rsidP="008E46EB">
      <w:pPr>
        <w:jc w:val="both"/>
        <w:rPr>
          <w:rFonts w:ascii="Calibri" w:hAnsi="Calibri" w:cs="Calibri"/>
          <w:spacing w:val="2"/>
          <w:sz w:val="22"/>
          <w:szCs w:val="22"/>
          <w:shd w:val="clear" w:color="auto" w:fill="FFFFFF"/>
        </w:rPr>
      </w:pPr>
    </w:p>
    <w:p w14:paraId="1E901971" w14:textId="77777777" w:rsidR="008E46EB" w:rsidRDefault="008E46EB" w:rsidP="008E46EB">
      <w:pPr>
        <w:rPr>
          <w:rFonts w:ascii="Calibri" w:hAnsi="Calibri" w:cs="Calibri"/>
          <w:b/>
          <w:bCs/>
          <w:spacing w:val="2"/>
          <w:sz w:val="22"/>
          <w:szCs w:val="22"/>
          <w:shd w:val="clear" w:color="auto" w:fill="FFFFFF"/>
        </w:rPr>
      </w:pPr>
      <w:r>
        <w:rPr>
          <w:rFonts w:ascii="Calibri" w:hAnsi="Calibri" w:cs="Calibri"/>
          <w:b/>
          <w:bCs/>
          <w:spacing w:val="2"/>
          <w:sz w:val="22"/>
          <w:szCs w:val="22"/>
          <w:shd w:val="clear" w:color="auto" w:fill="FFFFFF"/>
        </w:rPr>
        <w:t>Acknowledgment</w:t>
      </w:r>
    </w:p>
    <w:p w14:paraId="192CBEB9" w14:textId="77777777" w:rsidR="008E46EB" w:rsidRDefault="008E46EB" w:rsidP="008E46EB">
      <w:pPr>
        <w:rPr>
          <w:rFonts w:ascii="Calibri" w:hAnsi="Calibri" w:cs="Calibri"/>
          <w:sz w:val="22"/>
          <w:szCs w:val="22"/>
        </w:rPr>
      </w:pPr>
      <w:r>
        <w:rPr>
          <w:rFonts w:ascii="Calibri" w:hAnsi="Calibri" w:cs="Calibri"/>
          <w:spacing w:val="2"/>
          <w:sz w:val="22"/>
          <w:szCs w:val="22"/>
          <w:shd w:val="clear" w:color="auto" w:fill="FFFFFF"/>
        </w:rPr>
        <w:t xml:space="preserve">The Authors acknowledge the COST Action CA21111 </w:t>
      </w:r>
      <w:r>
        <w:rPr>
          <w:rFonts w:ascii="Calibri" w:hAnsi="Calibri" w:cs="Calibri"/>
          <w:sz w:val="22"/>
          <w:szCs w:val="22"/>
        </w:rPr>
        <w:t>for the financial support.</w:t>
      </w:r>
    </w:p>
    <w:p w14:paraId="649D7B4C" w14:textId="77777777" w:rsidR="008E46EB" w:rsidRDefault="008E46EB" w:rsidP="008E46EB">
      <w:pPr>
        <w:rPr>
          <w:rFonts w:ascii="Calibri" w:hAnsi="Calibri" w:cs="Calibri"/>
          <w:sz w:val="22"/>
          <w:szCs w:val="22"/>
        </w:rPr>
      </w:pPr>
    </w:p>
    <w:p w14:paraId="1F6C3226" w14:textId="14CCAC48" w:rsidR="00685EA5" w:rsidRDefault="00685EA5">
      <w:pPr>
        <w:rPr>
          <w:rFonts w:ascii="Calibri" w:hAnsi="Calibri" w:cs="Calibri"/>
          <w:color w:val="000000" w:themeColor="text1"/>
        </w:rPr>
      </w:pPr>
      <w:r>
        <w:rPr>
          <w:rFonts w:ascii="Calibri" w:hAnsi="Calibri" w:cs="Calibri"/>
          <w:color w:val="000000" w:themeColor="text1"/>
        </w:rPr>
        <w:br w:type="page"/>
      </w:r>
    </w:p>
    <w:p w14:paraId="0AF9FCC8" w14:textId="77777777" w:rsidR="00685EA5" w:rsidRDefault="00685EA5" w:rsidP="00685EA5">
      <w:pPr>
        <w:spacing w:line="264" w:lineRule="auto"/>
        <w:jc w:val="center"/>
        <w:rPr>
          <w:rFonts w:ascii="Calibri" w:hAnsi="Calibri" w:cs="Calibri"/>
          <w:color w:val="000000" w:themeColor="text1"/>
        </w:rPr>
      </w:pPr>
    </w:p>
    <w:p w14:paraId="1F76F865" w14:textId="77777777" w:rsidR="001F76B4" w:rsidRDefault="001F76B4" w:rsidP="001F76B4">
      <w:pPr>
        <w:jc w:val="center"/>
        <w:rPr>
          <w:rFonts w:ascii="Calibri" w:hAnsi="Calibri" w:cs="Calibri"/>
          <w:b/>
          <w:bCs/>
          <w:color w:val="2E74B5" w:themeColor="accent5" w:themeShade="BF"/>
          <w:lang w:val="en-GB"/>
        </w:rPr>
      </w:pPr>
      <w:r w:rsidRPr="001F76B4">
        <w:rPr>
          <w:rFonts w:ascii="Calibri" w:hAnsi="Calibri" w:cs="Calibri"/>
          <w:b/>
          <w:bCs/>
          <w:color w:val="2E74B5" w:themeColor="accent5" w:themeShade="BF"/>
          <w:lang w:val="en-GB"/>
        </w:rPr>
        <w:t>Molecular docking study on antiparasitic nucleoside drugs</w:t>
      </w:r>
    </w:p>
    <w:p w14:paraId="6E0BA28A" w14:textId="77777777" w:rsidR="005923F9" w:rsidRPr="00D2337F" w:rsidRDefault="005923F9" w:rsidP="005923F9">
      <w:pPr>
        <w:spacing w:line="360" w:lineRule="auto"/>
        <w:jc w:val="center"/>
        <w:rPr>
          <w:rFonts w:ascii="Calibri" w:hAnsi="Calibri" w:cs="Calibri"/>
          <w:sz w:val="22"/>
          <w:szCs w:val="22"/>
        </w:rPr>
      </w:pPr>
      <w:r w:rsidRPr="00D2337F">
        <w:rPr>
          <w:rFonts w:ascii="Calibri" w:hAnsi="Calibri" w:cs="Calibri"/>
          <w:color w:val="000000"/>
          <w:sz w:val="22"/>
          <w:szCs w:val="22"/>
          <w:u w:val="single"/>
        </w:rPr>
        <w:t>Cvetkovski A.</w:t>
      </w:r>
      <w:r w:rsidRPr="00D2337F">
        <w:rPr>
          <w:rFonts w:ascii="Calibri" w:hAnsi="Calibri" w:cs="Calibri"/>
          <w:color w:val="000000"/>
          <w:sz w:val="22"/>
          <w:szCs w:val="22"/>
          <w:vertAlign w:val="superscript"/>
        </w:rPr>
        <w:t>a</w:t>
      </w:r>
      <w:r w:rsidRPr="00D2337F">
        <w:rPr>
          <w:rFonts w:ascii="Calibri" w:hAnsi="Calibri" w:cs="Calibri"/>
          <w:color w:val="000000"/>
          <w:sz w:val="22"/>
          <w:szCs w:val="22"/>
        </w:rPr>
        <w:t>,</w:t>
      </w:r>
      <w:r>
        <w:rPr>
          <w:rFonts w:ascii="Calibri" w:hAnsi="Calibri" w:cs="Calibri"/>
          <w:color w:val="000000"/>
          <w:sz w:val="22"/>
          <w:szCs w:val="22"/>
        </w:rPr>
        <w:t xml:space="preserve"> Van Calenbergh S., </w:t>
      </w:r>
      <w:r>
        <w:rPr>
          <w:rFonts w:ascii="Calibri" w:hAnsi="Calibri" w:cs="Calibri"/>
          <w:color w:val="000000"/>
          <w:sz w:val="22"/>
          <w:szCs w:val="22"/>
          <w:vertAlign w:val="superscript"/>
        </w:rPr>
        <w:t>b</w:t>
      </w:r>
      <w:r>
        <w:rPr>
          <w:rFonts w:ascii="Calibri" w:hAnsi="Calibri" w:cs="Calibri"/>
          <w:color w:val="000000"/>
          <w:sz w:val="22"/>
          <w:szCs w:val="22"/>
        </w:rPr>
        <w:t xml:space="preserve"> </w:t>
      </w:r>
      <w:r w:rsidRPr="00D2337F">
        <w:rPr>
          <w:rFonts w:ascii="Calibri" w:hAnsi="Calibri" w:cs="Calibri"/>
          <w:color w:val="000000"/>
          <w:sz w:val="22"/>
          <w:szCs w:val="22"/>
        </w:rPr>
        <w:t>De Koning H.P.</w:t>
      </w:r>
      <w:r>
        <w:rPr>
          <w:rFonts w:ascii="Calibri" w:hAnsi="Calibri" w:cs="Calibri"/>
          <w:color w:val="000000"/>
          <w:sz w:val="22"/>
          <w:szCs w:val="22"/>
        </w:rPr>
        <w:t>,</w:t>
      </w:r>
      <w:r w:rsidRPr="00D2337F">
        <w:rPr>
          <w:rFonts w:ascii="Calibri" w:hAnsi="Calibri" w:cs="Calibri"/>
          <w:color w:val="000000"/>
          <w:sz w:val="22"/>
          <w:szCs w:val="22"/>
        </w:rPr>
        <w:t xml:space="preserve"> </w:t>
      </w:r>
      <w:r>
        <w:rPr>
          <w:rFonts w:ascii="Calibri" w:hAnsi="Calibri" w:cs="Calibri"/>
          <w:color w:val="000000"/>
          <w:sz w:val="22"/>
          <w:szCs w:val="22"/>
          <w:vertAlign w:val="superscript"/>
        </w:rPr>
        <w:t>c</w:t>
      </w:r>
      <w:r w:rsidRPr="00D2337F">
        <w:rPr>
          <w:rFonts w:ascii="Calibri" w:hAnsi="Calibri" w:cs="Calibri"/>
          <w:sz w:val="22"/>
          <w:szCs w:val="22"/>
        </w:rPr>
        <w:t xml:space="preserve"> García-Sosa </w:t>
      </w:r>
      <w:r>
        <w:rPr>
          <w:rFonts w:ascii="Calibri" w:hAnsi="Calibri" w:cs="Calibri"/>
          <w:sz w:val="22"/>
          <w:szCs w:val="22"/>
        </w:rPr>
        <w:t>A.</w:t>
      </w:r>
      <w:r w:rsidRPr="00D2337F">
        <w:rPr>
          <w:rFonts w:ascii="Calibri" w:hAnsi="Calibri" w:cs="Calibri"/>
          <w:sz w:val="22"/>
          <w:szCs w:val="22"/>
        </w:rPr>
        <w:t xml:space="preserve">T. </w:t>
      </w:r>
      <w:r>
        <w:rPr>
          <w:rFonts w:ascii="Calibri" w:hAnsi="Calibri" w:cs="Calibri"/>
          <w:sz w:val="22"/>
          <w:szCs w:val="22"/>
          <w:vertAlign w:val="superscript"/>
        </w:rPr>
        <w:t>d</w:t>
      </w:r>
    </w:p>
    <w:p w14:paraId="4F677082" w14:textId="77777777" w:rsidR="005923F9" w:rsidRDefault="005923F9" w:rsidP="005923F9">
      <w:pPr>
        <w:jc w:val="center"/>
        <w:rPr>
          <w:rFonts w:ascii="Calibri" w:hAnsi="Calibri" w:cs="Calibri"/>
          <w:sz w:val="22"/>
          <w:szCs w:val="22"/>
        </w:rPr>
      </w:pPr>
      <w:r w:rsidRPr="00D2337F">
        <w:rPr>
          <w:rFonts w:ascii="Calibri" w:hAnsi="Calibri" w:cs="Calibri"/>
          <w:sz w:val="22"/>
          <w:szCs w:val="22"/>
          <w:vertAlign w:val="superscript"/>
        </w:rPr>
        <w:t>a</w:t>
      </w:r>
      <w:r w:rsidRPr="00D2337F">
        <w:rPr>
          <w:rFonts w:ascii="Calibri" w:hAnsi="Calibri" w:cs="Calibri"/>
          <w:sz w:val="22"/>
          <w:szCs w:val="22"/>
        </w:rPr>
        <w:t xml:space="preserve"> University Goce Delcev Stip Faculty of medical science, Krste Misirkov b.b.</w:t>
      </w:r>
      <w:r w:rsidRPr="00D2337F">
        <w:rPr>
          <w:rFonts w:ascii="Calibri" w:hAnsi="Calibri" w:cs="Calibri"/>
          <w:sz w:val="22"/>
          <w:szCs w:val="22"/>
        </w:rPr>
        <w:br/>
        <w:t>P. fax. 201, 2000 Stip, Republic of N. Macedonia </w:t>
      </w:r>
    </w:p>
    <w:p w14:paraId="4E54061D" w14:textId="77777777" w:rsidR="005923F9" w:rsidRPr="00663F82" w:rsidRDefault="005923F9" w:rsidP="005923F9">
      <w:pPr>
        <w:jc w:val="center"/>
        <w:rPr>
          <w:rFonts w:ascii="Calibri" w:hAnsi="Calibri" w:cs="Calibri"/>
          <w:sz w:val="22"/>
          <w:szCs w:val="22"/>
        </w:rPr>
      </w:pPr>
      <w:r>
        <w:rPr>
          <w:rFonts w:ascii="Calibri" w:hAnsi="Calibri" w:cs="Calibri"/>
          <w:sz w:val="22"/>
          <w:szCs w:val="22"/>
          <w:vertAlign w:val="superscript"/>
        </w:rPr>
        <w:t>b</w:t>
      </w:r>
      <w:r>
        <w:rPr>
          <w:rFonts w:ascii="Calibri" w:hAnsi="Calibri" w:cs="Calibri"/>
          <w:sz w:val="22"/>
          <w:szCs w:val="22"/>
        </w:rPr>
        <w:t xml:space="preserve"> Laboratory of Medical Chemistry, University of Ghent, Ghent, Belgium</w:t>
      </w:r>
    </w:p>
    <w:p w14:paraId="087B6D0A" w14:textId="77777777" w:rsidR="005923F9" w:rsidRPr="00D2337F" w:rsidRDefault="005923F9" w:rsidP="005923F9">
      <w:pPr>
        <w:jc w:val="center"/>
        <w:rPr>
          <w:rFonts w:ascii="Calibri" w:hAnsi="Calibri" w:cs="Calibri"/>
          <w:sz w:val="22"/>
          <w:szCs w:val="22"/>
        </w:rPr>
      </w:pPr>
      <w:r>
        <w:rPr>
          <w:rFonts w:ascii="Calibri" w:hAnsi="Calibri" w:cs="Calibri"/>
          <w:sz w:val="22"/>
          <w:szCs w:val="22"/>
          <w:vertAlign w:val="superscript"/>
        </w:rPr>
        <w:t>c</w:t>
      </w:r>
      <w:r w:rsidRPr="00D2337F">
        <w:rPr>
          <w:rFonts w:ascii="Calibri" w:hAnsi="Calibri" w:cs="Calibri"/>
          <w:sz w:val="22"/>
          <w:szCs w:val="22"/>
        </w:rPr>
        <w:t xml:space="preserve"> School of Infection &amp; Immunity, University of Glasgow, UK</w:t>
      </w:r>
    </w:p>
    <w:p w14:paraId="0212DEB2" w14:textId="77777777" w:rsidR="005923F9" w:rsidRPr="00D2337F" w:rsidRDefault="005923F9" w:rsidP="005923F9">
      <w:pPr>
        <w:jc w:val="center"/>
        <w:rPr>
          <w:rFonts w:ascii="Calibri" w:hAnsi="Calibri" w:cs="Calibri"/>
          <w:sz w:val="22"/>
          <w:szCs w:val="22"/>
        </w:rPr>
      </w:pPr>
      <w:r w:rsidRPr="00B73D63">
        <w:rPr>
          <w:rFonts w:ascii="Calibri" w:hAnsi="Calibri" w:cs="Calibri"/>
          <w:sz w:val="22"/>
          <w:szCs w:val="22"/>
          <w:vertAlign w:val="superscript"/>
        </w:rPr>
        <w:t>d</w:t>
      </w:r>
      <w:r w:rsidRPr="00D2337F">
        <w:rPr>
          <w:rFonts w:ascii="Calibri" w:hAnsi="Calibri" w:cs="Calibri"/>
          <w:sz w:val="22"/>
          <w:szCs w:val="22"/>
        </w:rPr>
        <w:t xml:space="preserve"> Institute of Chemistry, University of Tartu  Ravila 14a 50411Tartu,  Estonia</w:t>
      </w:r>
    </w:p>
    <w:p w14:paraId="28F5FFC6" w14:textId="77777777" w:rsidR="005923F9" w:rsidRPr="00CF0E0C" w:rsidRDefault="005923F9" w:rsidP="005923F9">
      <w:pPr>
        <w:jc w:val="center"/>
        <w:rPr>
          <w:rFonts w:ascii="Calibri" w:hAnsi="Calibri" w:cs="Calibri"/>
          <w:sz w:val="22"/>
          <w:szCs w:val="22"/>
          <w:lang w:val="pt-PT"/>
        </w:rPr>
      </w:pPr>
      <w:r w:rsidRPr="00CF0E0C">
        <w:rPr>
          <w:rFonts w:ascii="Calibri" w:hAnsi="Calibri" w:cs="Calibri"/>
          <w:sz w:val="22"/>
          <w:szCs w:val="22"/>
          <w:lang w:val="pt-PT"/>
        </w:rPr>
        <w:t>e-mail: aleksandar.cvetkovski@ugd.edu.mk</w:t>
      </w:r>
    </w:p>
    <w:p w14:paraId="00620FC0" w14:textId="77777777" w:rsidR="005923F9" w:rsidRPr="00CF0E0C" w:rsidRDefault="005923F9" w:rsidP="005923F9">
      <w:pPr>
        <w:jc w:val="center"/>
        <w:rPr>
          <w:rFonts w:asciiTheme="minorHAnsi" w:hAnsiTheme="minorHAnsi" w:cstheme="minorHAnsi"/>
          <w:sz w:val="22"/>
          <w:szCs w:val="22"/>
          <w:lang w:val="pt-PT"/>
        </w:rPr>
      </w:pPr>
    </w:p>
    <w:p w14:paraId="4D02E170" w14:textId="77777777" w:rsidR="005923F9" w:rsidRPr="00B82C29" w:rsidRDefault="005923F9" w:rsidP="00B82C29">
      <w:pPr>
        <w:spacing w:line="276" w:lineRule="auto"/>
        <w:jc w:val="both"/>
        <w:rPr>
          <w:rFonts w:asciiTheme="minorHAnsi" w:hAnsiTheme="minorHAnsi" w:cstheme="minorHAnsi"/>
        </w:rPr>
      </w:pPr>
      <w:r w:rsidRPr="00B82C29">
        <w:rPr>
          <w:rFonts w:asciiTheme="minorHAnsi" w:hAnsiTheme="minorHAnsi" w:cstheme="minorHAnsi"/>
        </w:rPr>
        <w:t xml:space="preserve">New drugs against trypanosomiasis and leishmaniasis are urgently needed, including for veterinary applications, and any new drugs will have OneHealth implications. Adenosine analogues have shown great promise against both human and veterinary </w:t>
      </w:r>
      <w:r w:rsidRPr="00B82C29">
        <w:rPr>
          <w:rFonts w:asciiTheme="minorHAnsi" w:hAnsiTheme="minorHAnsi" w:cstheme="minorHAnsi"/>
          <w:i/>
          <w:iCs/>
        </w:rPr>
        <w:t xml:space="preserve">Trypanosoma </w:t>
      </w:r>
      <w:r w:rsidRPr="00B82C29">
        <w:rPr>
          <w:rFonts w:asciiTheme="minorHAnsi" w:hAnsiTheme="minorHAnsi" w:cstheme="minorHAnsi"/>
        </w:rPr>
        <w:t xml:space="preserve">species, but have generally displayed less activity against </w:t>
      </w:r>
      <w:r w:rsidRPr="00B82C29">
        <w:rPr>
          <w:rFonts w:asciiTheme="minorHAnsi" w:hAnsiTheme="minorHAnsi" w:cstheme="minorHAnsi"/>
          <w:i/>
          <w:iCs/>
        </w:rPr>
        <w:t>Leishmania</w:t>
      </w:r>
      <w:r w:rsidRPr="00B82C29">
        <w:rPr>
          <w:rFonts w:asciiTheme="minorHAnsi" w:hAnsiTheme="minorHAnsi" w:cstheme="minorHAnsi"/>
        </w:rPr>
        <w:t xml:space="preserve"> species. Screening with a </w:t>
      </w:r>
      <w:r w:rsidRPr="00B82C29">
        <w:rPr>
          <w:rFonts w:asciiTheme="minorHAnsi" w:hAnsiTheme="minorHAnsi" w:cstheme="minorHAnsi"/>
          <w:i/>
          <w:iCs/>
        </w:rPr>
        <w:t>Leishmania mexicana</w:t>
      </w:r>
      <w:r w:rsidRPr="00B82C29">
        <w:rPr>
          <w:rFonts w:asciiTheme="minorHAnsi" w:hAnsiTheme="minorHAnsi" w:cstheme="minorHAnsi"/>
        </w:rPr>
        <w:t xml:space="preserve"> cell line defective in adenosine kinase (ADK) shows that the activity of the most potent analogues is dependent on this enzyme, and that activity can be restored and even improved by the experession of </w:t>
      </w:r>
      <w:r w:rsidRPr="00B82C29">
        <w:rPr>
          <w:rFonts w:asciiTheme="minorHAnsi" w:hAnsiTheme="minorHAnsi" w:cstheme="minorHAnsi"/>
          <w:i/>
          <w:iCs/>
        </w:rPr>
        <w:t>T. brucei</w:t>
      </w:r>
      <w:r w:rsidRPr="00B82C29">
        <w:rPr>
          <w:rFonts w:asciiTheme="minorHAnsi" w:hAnsiTheme="minorHAnsi" w:cstheme="minorHAnsi"/>
        </w:rPr>
        <w:t xml:space="preserve"> ADK. Thus, differences in the ADKs of the two species may help explain the differences in antiparasitic activity against the different species, and potentially the high level of specificity regarding mammalian cells as well, Leishmania ADK being substantially different from the equivalent in other eukaryotes [1].</w:t>
      </w:r>
    </w:p>
    <w:p w14:paraId="028F515F" w14:textId="77777777" w:rsidR="005923F9" w:rsidRPr="00B82C29" w:rsidRDefault="005923F9" w:rsidP="00B82C29">
      <w:pPr>
        <w:tabs>
          <w:tab w:val="num" w:pos="720"/>
        </w:tabs>
        <w:spacing w:after="200" w:line="276" w:lineRule="auto"/>
        <w:jc w:val="both"/>
        <w:rPr>
          <w:rFonts w:asciiTheme="minorHAnsi" w:hAnsiTheme="minorHAnsi" w:cstheme="minorHAnsi"/>
        </w:rPr>
      </w:pPr>
      <w:r w:rsidRPr="00B82C29">
        <w:rPr>
          <w:rFonts w:asciiTheme="minorHAnsi" w:hAnsiTheme="minorHAnsi" w:cstheme="minorHAnsi"/>
        </w:rPr>
        <w:t xml:space="preserve">Here, we present results from </w:t>
      </w:r>
      <w:r w:rsidRPr="00B82C29">
        <w:rPr>
          <w:rFonts w:asciiTheme="minorHAnsi" w:hAnsiTheme="minorHAnsi" w:cstheme="minorHAnsi"/>
          <w:i/>
          <w:iCs/>
        </w:rPr>
        <w:t>in silico</w:t>
      </w:r>
      <w:r w:rsidRPr="00B82C29">
        <w:rPr>
          <w:rFonts w:asciiTheme="minorHAnsi" w:hAnsiTheme="minorHAnsi" w:cstheme="minorHAnsi"/>
        </w:rPr>
        <w:t xml:space="preserve"> molecular modeling based on docking for predicting binding poses of antiparasitic nucleoside drugs. The tested hypothesis is whether nucleoside analogues are phosphorylated more easily by </w:t>
      </w:r>
      <w:r w:rsidRPr="00B82C29">
        <w:rPr>
          <w:rFonts w:asciiTheme="minorHAnsi" w:hAnsiTheme="minorHAnsi" w:cstheme="minorHAnsi"/>
          <w:i/>
          <w:iCs/>
        </w:rPr>
        <w:t>Tb</w:t>
      </w:r>
      <w:r w:rsidRPr="00B82C29">
        <w:rPr>
          <w:rFonts w:asciiTheme="minorHAnsi" w:hAnsiTheme="minorHAnsi" w:cstheme="minorHAnsi"/>
        </w:rPr>
        <w:t xml:space="preserve">ADK than by </w:t>
      </w:r>
      <w:r w:rsidRPr="00B82C29">
        <w:rPr>
          <w:rFonts w:asciiTheme="minorHAnsi" w:hAnsiTheme="minorHAnsi" w:cstheme="minorHAnsi"/>
          <w:i/>
          <w:iCs/>
        </w:rPr>
        <w:t>Leishmania mexicana</w:t>
      </w:r>
      <w:r w:rsidRPr="00B82C29">
        <w:rPr>
          <w:rFonts w:asciiTheme="minorHAnsi" w:hAnsiTheme="minorHAnsi" w:cstheme="minorHAnsi"/>
        </w:rPr>
        <w:t xml:space="preserve"> (</w:t>
      </w:r>
      <w:r w:rsidRPr="00B82C29">
        <w:rPr>
          <w:rFonts w:asciiTheme="minorHAnsi" w:hAnsiTheme="minorHAnsi" w:cstheme="minorHAnsi"/>
          <w:i/>
          <w:iCs/>
        </w:rPr>
        <w:t>Lmx</w:t>
      </w:r>
      <w:r w:rsidRPr="00B82C29">
        <w:rPr>
          <w:rFonts w:asciiTheme="minorHAnsi" w:hAnsiTheme="minorHAnsi" w:cstheme="minorHAnsi"/>
        </w:rPr>
        <w:t xml:space="preserve">ADK). Differences in geometry of active site and ligands conformation were observed, which impact differences in predicted score. The best docking score and the most efficient adenosine analogue in vitro, tubercidin, exerts different patterns of molecular interaction with ligand and amino acid residues in the binding sites of </w:t>
      </w:r>
      <w:r w:rsidRPr="00B82C29">
        <w:rPr>
          <w:rFonts w:asciiTheme="minorHAnsi" w:hAnsiTheme="minorHAnsi" w:cstheme="minorHAnsi"/>
          <w:i/>
          <w:iCs/>
        </w:rPr>
        <w:t>Lmx</w:t>
      </w:r>
      <w:r w:rsidRPr="00B82C29">
        <w:rPr>
          <w:rFonts w:asciiTheme="minorHAnsi" w:hAnsiTheme="minorHAnsi" w:cstheme="minorHAnsi"/>
        </w:rPr>
        <w:t xml:space="preserve">ADK and </w:t>
      </w:r>
      <w:r w:rsidRPr="00B82C29">
        <w:rPr>
          <w:rFonts w:asciiTheme="minorHAnsi" w:hAnsiTheme="minorHAnsi" w:cstheme="minorHAnsi"/>
          <w:i/>
          <w:iCs/>
        </w:rPr>
        <w:t>Tb</w:t>
      </w:r>
      <w:r w:rsidRPr="00B82C29">
        <w:rPr>
          <w:rFonts w:asciiTheme="minorHAnsi" w:hAnsiTheme="minorHAnsi" w:cstheme="minorHAnsi"/>
        </w:rPr>
        <w:t xml:space="preserve">ADK.  Optimising SAR for efficient recognition by the ADKs and adenosine transporters of both </w:t>
      </w:r>
      <w:r w:rsidRPr="00B82C29">
        <w:rPr>
          <w:rFonts w:asciiTheme="minorHAnsi" w:hAnsiTheme="minorHAnsi" w:cstheme="minorHAnsi"/>
          <w:i/>
          <w:iCs/>
        </w:rPr>
        <w:t>Leishmania</w:t>
      </w:r>
      <w:r w:rsidRPr="00B82C29">
        <w:rPr>
          <w:rFonts w:asciiTheme="minorHAnsi" w:hAnsiTheme="minorHAnsi" w:cstheme="minorHAnsi"/>
        </w:rPr>
        <w:t xml:space="preserve"> and </w:t>
      </w:r>
      <w:r w:rsidRPr="00B82C29">
        <w:rPr>
          <w:rFonts w:asciiTheme="minorHAnsi" w:hAnsiTheme="minorHAnsi" w:cstheme="minorHAnsi"/>
          <w:i/>
          <w:iCs/>
        </w:rPr>
        <w:t>Trypanosoma</w:t>
      </w:r>
      <w:r w:rsidRPr="00B82C29">
        <w:rPr>
          <w:rFonts w:asciiTheme="minorHAnsi" w:hAnsiTheme="minorHAnsi" w:cstheme="minorHAnsi"/>
        </w:rPr>
        <w:t xml:space="preserve"> have potential to develop drugs with broad anti-trypanosomatid activity.</w:t>
      </w:r>
    </w:p>
    <w:p w14:paraId="4F31568B" w14:textId="77777777" w:rsidR="005923F9" w:rsidRPr="00D2337F" w:rsidRDefault="005923F9" w:rsidP="005923F9">
      <w:pPr>
        <w:rPr>
          <w:rFonts w:asciiTheme="minorHAnsi" w:hAnsiTheme="minorHAnsi" w:cstheme="minorHAnsi"/>
          <w:sz w:val="22"/>
          <w:szCs w:val="22"/>
        </w:rPr>
      </w:pPr>
      <w:r w:rsidRPr="00D2337F">
        <w:rPr>
          <w:rFonts w:asciiTheme="minorHAnsi" w:hAnsiTheme="minorHAnsi" w:cstheme="minorHAnsi"/>
          <w:sz w:val="22"/>
          <w:szCs w:val="22"/>
        </w:rPr>
        <w:t xml:space="preserve">[1] Datta AK, Bhaumik D, Chatterjee R. Isolation and characterization of adenosine kinase from </w:t>
      </w:r>
      <w:r w:rsidRPr="00D2337F">
        <w:rPr>
          <w:rFonts w:asciiTheme="minorHAnsi" w:hAnsiTheme="minorHAnsi" w:cstheme="minorHAnsi"/>
          <w:i/>
          <w:iCs/>
          <w:sz w:val="22"/>
          <w:szCs w:val="22"/>
        </w:rPr>
        <w:t>Leishmania donovani</w:t>
      </w:r>
      <w:r w:rsidRPr="00D2337F">
        <w:rPr>
          <w:rFonts w:asciiTheme="minorHAnsi" w:hAnsiTheme="minorHAnsi" w:cstheme="minorHAnsi"/>
          <w:sz w:val="22"/>
          <w:szCs w:val="22"/>
        </w:rPr>
        <w:t>. J Biol Chem. 1987</w:t>
      </w:r>
    </w:p>
    <w:p w14:paraId="32D1F2B5" w14:textId="77777777" w:rsidR="005923F9" w:rsidRPr="00D2337F" w:rsidRDefault="005923F9" w:rsidP="005923F9">
      <w:pPr>
        <w:rPr>
          <w:rFonts w:ascii="Calibri" w:hAnsi="Calibri" w:cs="Calibri"/>
          <w:spacing w:val="2"/>
          <w:sz w:val="22"/>
          <w:szCs w:val="22"/>
          <w:shd w:val="clear" w:color="auto" w:fill="FFFFFF"/>
        </w:rPr>
      </w:pPr>
    </w:p>
    <w:p w14:paraId="3B58DCED" w14:textId="77777777" w:rsidR="005923F9" w:rsidRPr="00D2337F" w:rsidRDefault="005923F9" w:rsidP="005923F9">
      <w:pPr>
        <w:rPr>
          <w:rFonts w:ascii="Calibri" w:hAnsi="Calibri" w:cs="Calibri"/>
          <w:b/>
          <w:bCs/>
          <w:spacing w:val="2"/>
          <w:sz w:val="22"/>
          <w:szCs w:val="22"/>
          <w:shd w:val="clear" w:color="auto" w:fill="FFFFFF"/>
        </w:rPr>
      </w:pPr>
      <w:r w:rsidRPr="00D2337F">
        <w:rPr>
          <w:rFonts w:ascii="Calibri" w:hAnsi="Calibri" w:cs="Calibri"/>
          <w:b/>
          <w:bCs/>
          <w:spacing w:val="2"/>
          <w:sz w:val="22"/>
          <w:szCs w:val="22"/>
          <w:shd w:val="clear" w:color="auto" w:fill="FFFFFF"/>
        </w:rPr>
        <w:lastRenderedPageBreak/>
        <w:t>Acknowledgment</w:t>
      </w:r>
    </w:p>
    <w:p w14:paraId="5B203B66" w14:textId="77777777" w:rsidR="005923F9" w:rsidRDefault="005923F9" w:rsidP="005923F9">
      <w:pPr>
        <w:rPr>
          <w:rFonts w:ascii="Calibri" w:hAnsi="Calibri" w:cs="Calibri"/>
          <w:sz w:val="22"/>
          <w:szCs w:val="22"/>
        </w:rPr>
      </w:pPr>
      <w:r w:rsidRPr="00D2337F">
        <w:rPr>
          <w:rFonts w:ascii="Calibri" w:hAnsi="Calibri" w:cs="Calibri"/>
          <w:spacing w:val="2"/>
          <w:sz w:val="22"/>
          <w:szCs w:val="22"/>
          <w:shd w:val="clear" w:color="auto" w:fill="FFFFFF"/>
        </w:rPr>
        <w:t xml:space="preserve">The Authors acknowledge Cost Action 21111 </w:t>
      </w:r>
      <w:r w:rsidRPr="00D2337F">
        <w:rPr>
          <w:rFonts w:ascii="Calibri" w:hAnsi="Calibri" w:cs="Calibri"/>
          <w:sz w:val="22"/>
          <w:szCs w:val="22"/>
        </w:rPr>
        <w:t>for financial support in the form of an STSM to A. Cvetkovski</w:t>
      </w:r>
      <w:r>
        <w:rPr>
          <w:rFonts w:ascii="Calibri" w:hAnsi="Calibri" w:cs="Calibri"/>
          <w:sz w:val="22"/>
          <w:szCs w:val="22"/>
        </w:rPr>
        <w:t xml:space="preserve">, hosted by A. T. </w:t>
      </w:r>
      <w:r w:rsidRPr="00D2337F">
        <w:rPr>
          <w:rFonts w:ascii="Calibri" w:hAnsi="Calibri" w:cs="Calibri"/>
          <w:sz w:val="22"/>
          <w:szCs w:val="22"/>
        </w:rPr>
        <w:t>García-Sosa.</w:t>
      </w:r>
    </w:p>
    <w:p w14:paraId="28BF4A6C" w14:textId="77777777" w:rsidR="001F76B4" w:rsidRDefault="001F76B4" w:rsidP="001F76B4">
      <w:pPr>
        <w:jc w:val="center"/>
        <w:rPr>
          <w:rFonts w:ascii="Calibri" w:hAnsi="Calibri" w:cs="Calibri"/>
          <w:b/>
          <w:bCs/>
          <w:color w:val="2E74B5" w:themeColor="accent5" w:themeShade="BF"/>
          <w:lang w:val="en-GB"/>
        </w:rPr>
      </w:pPr>
    </w:p>
    <w:p w14:paraId="055C3E60" w14:textId="3ED1A45E" w:rsidR="001F76B4" w:rsidRDefault="001F76B4">
      <w:pPr>
        <w:rPr>
          <w:rFonts w:ascii="Calibri" w:hAnsi="Calibri" w:cs="Calibri"/>
          <w:color w:val="000000" w:themeColor="text1"/>
          <w:lang w:val="en-GB"/>
        </w:rPr>
      </w:pPr>
      <w:r>
        <w:rPr>
          <w:rFonts w:ascii="Calibri" w:hAnsi="Calibri" w:cs="Calibri"/>
          <w:color w:val="000000" w:themeColor="text1"/>
          <w:lang w:val="en-GB"/>
        </w:rPr>
        <w:br w:type="page"/>
      </w:r>
    </w:p>
    <w:p w14:paraId="0B9B8C88" w14:textId="77777777" w:rsidR="001F76B4" w:rsidRDefault="001F76B4" w:rsidP="001F76B4">
      <w:pPr>
        <w:jc w:val="center"/>
        <w:rPr>
          <w:rFonts w:ascii="Calibri" w:hAnsi="Calibri" w:cs="Calibri"/>
          <w:color w:val="000000" w:themeColor="text1"/>
          <w:lang w:val="en-GB"/>
        </w:rPr>
      </w:pPr>
    </w:p>
    <w:p w14:paraId="4BD259A2" w14:textId="1A4B60D8" w:rsidR="001F76B4" w:rsidRDefault="001F76B4" w:rsidP="001F76B4">
      <w:pPr>
        <w:jc w:val="center"/>
        <w:rPr>
          <w:rFonts w:ascii="Calibri" w:hAnsi="Calibri" w:cs="Calibri"/>
          <w:b/>
          <w:bCs/>
          <w:color w:val="2E74B5" w:themeColor="accent5" w:themeShade="BF"/>
          <w:lang w:val="en-GB"/>
        </w:rPr>
      </w:pPr>
      <w:r w:rsidRPr="001F76B4">
        <w:rPr>
          <w:rFonts w:ascii="Calibri" w:hAnsi="Calibri" w:cs="Calibri"/>
          <w:b/>
          <w:bCs/>
          <w:color w:val="2E74B5" w:themeColor="accent5" w:themeShade="BF"/>
          <w:lang w:val="en-GB"/>
        </w:rPr>
        <w:t>Synthesis and biological evaluation of new antiparasitic 4-thiazolidinone bioisosters of alkylphosphocholines</w:t>
      </w:r>
    </w:p>
    <w:p w14:paraId="69813DC1" w14:textId="77777777" w:rsidR="001F76B4" w:rsidRPr="00DB273A" w:rsidRDefault="001F76B4" w:rsidP="001F76B4">
      <w:pPr>
        <w:contextualSpacing/>
        <w:jc w:val="center"/>
        <w:rPr>
          <w:rFonts w:ascii="Calibri" w:hAnsi="Calibri" w:cs="Calibri"/>
          <w:color w:val="000000"/>
          <w:vertAlign w:val="superscript"/>
          <w:lang w:val="pt-PT"/>
        </w:rPr>
      </w:pPr>
      <w:r w:rsidRPr="00DB273A">
        <w:rPr>
          <w:rFonts w:ascii="Calibri" w:hAnsi="Calibri" w:cs="Calibri"/>
          <w:color w:val="000000"/>
          <w:u w:val="single"/>
          <w:lang w:val="pt-PT"/>
        </w:rPr>
        <w:t>Fotopoulou T.</w:t>
      </w:r>
      <w:r w:rsidRPr="00DB273A">
        <w:rPr>
          <w:rFonts w:ascii="Calibri" w:hAnsi="Calibri" w:cs="Calibri"/>
          <w:color w:val="000000"/>
          <w:lang w:val="pt-PT"/>
        </w:rPr>
        <w:t>,</w:t>
      </w:r>
      <w:r w:rsidRPr="00DB273A">
        <w:rPr>
          <w:rFonts w:ascii="Calibri" w:hAnsi="Calibri" w:cs="Calibri"/>
          <w:color w:val="000000"/>
          <w:vertAlign w:val="superscript"/>
          <w:lang w:val="pt-PT"/>
        </w:rPr>
        <w:t>a</w:t>
      </w:r>
      <w:r w:rsidRPr="00DB273A">
        <w:rPr>
          <w:rFonts w:ascii="Calibri" w:hAnsi="Calibri" w:cs="Calibri"/>
          <w:color w:val="000000"/>
          <w:lang w:val="pt-PT"/>
        </w:rPr>
        <w:t xml:space="preserve"> Chazapi E.,</w:t>
      </w:r>
      <w:r w:rsidRPr="00DB273A">
        <w:rPr>
          <w:rFonts w:ascii="Calibri" w:hAnsi="Calibri" w:cs="Calibri"/>
          <w:color w:val="000000"/>
          <w:vertAlign w:val="superscript"/>
          <w:lang w:val="pt-PT"/>
        </w:rPr>
        <w:t>a</w:t>
      </w:r>
      <w:r w:rsidRPr="00DB273A">
        <w:rPr>
          <w:rFonts w:ascii="Calibri" w:hAnsi="Calibri" w:cs="Calibri"/>
          <w:color w:val="000000"/>
          <w:lang w:val="pt-PT"/>
        </w:rPr>
        <w:t xml:space="preserve"> Santarem N.,</w:t>
      </w:r>
      <w:r w:rsidRPr="00DB273A">
        <w:rPr>
          <w:rFonts w:ascii="Calibri" w:hAnsi="Calibri" w:cs="Calibri"/>
          <w:color w:val="000000"/>
          <w:vertAlign w:val="superscript"/>
          <w:lang w:val="pt-PT"/>
        </w:rPr>
        <w:t>b,c</w:t>
      </w:r>
      <w:r w:rsidRPr="00DB273A">
        <w:rPr>
          <w:rFonts w:ascii="Calibri" w:hAnsi="Calibri" w:cs="Calibri"/>
          <w:color w:val="000000"/>
          <w:lang w:val="pt-PT"/>
        </w:rPr>
        <w:t xml:space="preserve"> Luelmo S.,</w:t>
      </w:r>
      <w:r w:rsidRPr="00DB273A">
        <w:rPr>
          <w:rFonts w:ascii="Calibri" w:hAnsi="Calibri" w:cs="Calibri"/>
          <w:color w:val="000000"/>
          <w:vertAlign w:val="superscript"/>
          <w:lang w:val="pt-PT"/>
        </w:rPr>
        <w:t xml:space="preserve">b </w:t>
      </w:r>
      <w:r w:rsidRPr="00DB273A">
        <w:rPr>
          <w:rFonts w:asciiTheme="minorHAnsi" w:hAnsiTheme="minorHAnsi" w:cstheme="minorHAnsi"/>
          <w:color w:val="000000"/>
          <w:lang w:val="pt-PT"/>
        </w:rPr>
        <w:t>Bafiti</w:t>
      </w:r>
      <w:r w:rsidRPr="00DB273A">
        <w:rPr>
          <w:rFonts w:ascii="Calibri" w:hAnsi="Calibri" w:cs="Calibri"/>
          <w:color w:val="000000"/>
          <w:vertAlign w:val="superscript"/>
          <w:lang w:val="pt-PT"/>
        </w:rPr>
        <w:t xml:space="preserve"> </w:t>
      </w:r>
      <w:r w:rsidRPr="00DB273A">
        <w:rPr>
          <w:rFonts w:asciiTheme="minorHAnsi" w:hAnsiTheme="minorHAnsi" w:cstheme="minorHAnsi"/>
          <w:color w:val="000000"/>
          <w:lang w:val="pt-PT"/>
        </w:rPr>
        <w:t>V.,</w:t>
      </w:r>
      <w:r w:rsidRPr="00DB273A">
        <w:rPr>
          <w:rFonts w:ascii="Calibri" w:hAnsi="Calibri" w:cs="Calibri"/>
          <w:color w:val="000000"/>
          <w:vertAlign w:val="superscript"/>
          <w:lang w:val="pt-PT"/>
        </w:rPr>
        <w:t>a</w:t>
      </w:r>
      <w:r w:rsidRPr="00DB273A">
        <w:rPr>
          <w:rFonts w:asciiTheme="minorHAnsi" w:hAnsiTheme="minorHAnsi" w:cstheme="minorHAnsi"/>
          <w:color w:val="000000"/>
          <w:lang w:val="pt-PT"/>
        </w:rPr>
        <w:t xml:space="preserve"> </w:t>
      </w:r>
      <w:r w:rsidRPr="00DB273A">
        <w:rPr>
          <w:rFonts w:asciiTheme="minorHAnsi" w:hAnsiTheme="minorHAnsi" w:cstheme="minorHAnsi"/>
          <w:color w:val="000000"/>
          <w:lang w:val="it-IT"/>
        </w:rPr>
        <w:t>Magoulas</w:t>
      </w:r>
      <w:r w:rsidRPr="00DB273A">
        <w:rPr>
          <w:rFonts w:ascii="Calibri" w:hAnsi="Calibri" w:cs="Calibri"/>
          <w:color w:val="000000"/>
          <w:lang w:val="pt-PT"/>
        </w:rPr>
        <w:t xml:space="preserve"> </w:t>
      </w:r>
      <w:r w:rsidRPr="00DB273A">
        <w:rPr>
          <w:rFonts w:asciiTheme="minorHAnsi" w:hAnsiTheme="minorHAnsi" w:cstheme="minorHAnsi"/>
          <w:color w:val="000000"/>
          <w:lang w:val="it-IT"/>
        </w:rPr>
        <w:t>G</w:t>
      </w:r>
      <w:r w:rsidRPr="00DB273A">
        <w:rPr>
          <w:rFonts w:asciiTheme="minorHAnsi" w:hAnsiTheme="minorHAnsi" w:cstheme="minorHAnsi"/>
          <w:color w:val="000000"/>
          <w:lang w:val="pt-PT"/>
        </w:rPr>
        <w:t xml:space="preserve">. </w:t>
      </w:r>
      <w:r w:rsidRPr="00DB273A">
        <w:rPr>
          <w:rFonts w:asciiTheme="minorHAnsi" w:hAnsiTheme="minorHAnsi" w:cstheme="minorHAnsi"/>
          <w:color w:val="000000"/>
          <w:lang w:val="it-IT"/>
        </w:rPr>
        <w:t>E.</w:t>
      </w:r>
      <w:r w:rsidRPr="00DB273A">
        <w:rPr>
          <w:rFonts w:asciiTheme="minorHAnsi" w:hAnsiTheme="minorHAnsi" w:cstheme="minorHAnsi"/>
          <w:color w:val="000000"/>
          <w:vertAlign w:val="superscript"/>
          <w:lang w:val="pt-PT"/>
        </w:rPr>
        <w:t>a</w:t>
      </w:r>
      <w:r w:rsidRPr="00DB273A">
        <w:rPr>
          <w:rFonts w:asciiTheme="minorHAnsi" w:hAnsiTheme="minorHAnsi" w:cstheme="minorHAnsi"/>
          <w:color w:val="000000"/>
          <w:lang w:val="it-IT"/>
        </w:rPr>
        <w:t xml:space="preserve"> </w:t>
      </w:r>
      <w:r w:rsidRPr="00DB273A">
        <w:rPr>
          <w:rFonts w:ascii="Calibri" w:hAnsi="Calibri" w:cs="Calibri"/>
          <w:color w:val="000000"/>
          <w:lang w:val="pt-PT"/>
        </w:rPr>
        <w:t>Katsila T.,</w:t>
      </w:r>
      <w:r w:rsidRPr="00DB273A">
        <w:rPr>
          <w:rFonts w:ascii="Calibri" w:hAnsi="Calibri" w:cs="Calibri"/>
          <w:color w:val="000000"/>
          <w:vertAlign w:val="superscript"/>
          <w:lang w:val="pt-PT"/>
        </w:rPr>
        <w:t>a</w:t>
      </w:r>
      <w:r w:rsidRPr="00DB273A">
        <w:rPr>
          <w:rFonts w:ascii="Calibri" w:hAnsi="Calibri" w:cs="Calibri"/>
          <w:color w:val="000000"/>
          <w:lang w:val="pt-PT"/>
        </w:rPr>
        <w:t xml:space="preserve"> Prousis  K. C.,</w:t>
      </w:r>
      <w:r w:rsidRPr="00DB273A">
        <w:rPr>
          <w:rFonts w:ascii="Calibri" w:hAnsi="Calibri" w:cs="Calibri"/>
          <w:color w:val="000000"/>
          <w:vertAlign w:val="superscript"/>
          <w:lang w:val="pt-PT"/>
        </w:rPr>
        <w:t xml:space="preserve">a  </w:t>
      </w:r>
      <w:r w:rsidRPr="00DB273A">
        <w:rPr>
          <w:rFonts w:ascii="Calibri" w:hAnsi="Calibri" w:cs="Calibri"/>
          <w:color w:val="000000"/>
          <w:lang w:val="pt-PT"/>
        </w:rPr>
        <w:t>Cordeiro da Silva A.,</w:t>
      </w:r>
      <w:r w:rsidRPr="00DB273A">
        <w:rPr>
          <w:rFonts w:ascii="Calibri" w:hAnsi="Calibri" w:cs="Calibri"/>
          <w:color w:val="000000"/>
          <w:vertAlign w:val="superscript"/>
          <w:lang w:val="pt-PT"/>
        </w:rPr>
        <w:t xml:space="preserve">b,c </w:t>
      </w:r>
      <w:r w:rsidRPr="00DB273A">
        <w:rPr>
          <w:rFonts w:ascii="Calibri" w:hAnsi="Calibri" w:cs="Calibri"/>
          <w:color w:val="000000"/>
          <w:lang w:val="pt-PT"/>
        </w:rPr>
        <w:t>Calogeropoulou T.</w:t>
      </w:r>
      <w:r w:rsidRPr="00DB273A">
        <w:rPr>
          <w:rFonts w:ascii="Calibri" w:hAnsi="Calibri" w:cs="Calibri"/>
          <w:color w:val="000000"/>
          <w:vertAlign w:val="superscript"/>
          <w:lang w:val="pt-PT"/>
        </w:rPr>
        <w:t>a</w:t>
      </w:r>
    </w:p>
    <w:p w14:paraId="1E2B11CC" w14:textId="77777777" w:rsidR="001F76B4" w:rsidRPr="00DB273A" w:rsidRDefault="001F76B4" w:rsidP="001F76B4">
      <w:pPr>
        <w:contextualSpacing/>
        <w:rPr>
          <w:rFonts w:ascii="Calibri" w:hAnsi="Calibri" w:cs="Calibri"/>
          <w:color w:val="000000"/>
          <w:sz w:val="16"/>
          <w:szCs w:val="16"/>
          <w:lang w:val="pt-PT"/>
        </w:rPr>
      </w:pPr>
    </w:p>
    <w:p w14:paraId="75567C2C" w14:textId="77777777" w:rsidR="001F76B4" w:rsidRPr="00DB273A" w:rsidRDefault="001F76B4" w:rsidP="001F76B4">
      <w:pPr>
        <w:contextualSpacing/>
        <w:jc w:val="center"/>
        <w:rPr>
          <w:rFonts w:ascii="Calibri" w:hAnsi="Calibri" w:cs="Calibri"/>
          <w:color w:val="000000"/>
          <w:sz w:val="22"/>
          <w:szCs w:val="22"/>
          <w:lang w:val="pt-PT"/>
        </w:rPr>
      </w:pPr>
      <w:r w:rsidRPr="00DB273A">
        <w:rPr>
          <w:rFonts w:ascii="Calibri" w:hAnsi="Calibri" w:cs="Calibri"/>
          <w:color w:val="000000"/>
          <w:sz w:val="22"/>
          <w:szCs w:val="22"/>
          <w:vertAlign w:val="superscript"/>
          <w:lang w:val="pt-PT"/>
        </w:rPr>
        <w:t>a</w:t>
      </w:r>
      <w:r w:rsidRPr="00DB273A">
        <w:rPr>
          <w:rFonts w:ascii="Calibri" w:hAnsi="Calibri" w:cs="Calibri"/>
          <w:color w:val="000000"/>
          <w:sz w:val="22"/>
          <w:szCs w:val="22"/>
          <w:lang w:val="pt-PT"/>
        </w:rPr>
        <w:t xml:space="preserve">National Hellenic Research Foundation, Institute of Chemical Biology, Greece, </w:t>
      </w:r>
      <w:r w:rsidRPr="00DB273A">
        <w:rPr>
          <w:rFonts w:ascii="Calibri" w:hAnsi="Calibri" w:cs="Calibri"/>
          <w:color w:val="000000"/>
          <w:sz w:val="22"/>
          <w:szCs w:val="22"/>
          <w:vertAlign w:val="superscript"/>
          <w:lang w:val="pt-PT"/>
        </w:rPr>
        <w:t>b</w:t>
      </w:r>
      <w:r w:rsidRPr="00DB273A">
        <w:rPr>
          <w:rFonts w:ascii="Calibri" w:hAnsi="Calibri" w:cs="Calibri"/>
          <w:color w:val="000000"/>
          <w:sz w:val="22"/>
          <w:szCs w:val="22"/>
          <w:lang w:val="pt-PT"/>
        </w:rPr>
        <w:t xml:space="preserve">i3S–Instituto de Investigação e Inovação em Saúde, Universidade do Porto, Portugal, </w:t>
      </w:r>
      <w:r w:rsidRPr="00DB273A">
        <w:rPr>
          <w:rFonts w:ascii="Calibri" w:hAnsi="Calibri" w:cs="Calibri"/>
          <w:color w:val="000000"/>
          <w:sz w:val="22"/>
          <w:szCs w:val="22"/>
          <w:vertAlign w:val="superscript"/>
          <w:lang w:val="pt-PT"/>
        </w:rPr>
        <w:t>c</w:t>
      </w:r>
      <w:r w:rsidRPr="00DB273A">
        <w:rPr>
          <w:rFonts w:ascii="Calibri" w:hAnsi="Calibri" w:cs="Calibri"/>
          <w:color w:val="000000"/>
          <w:sz w:val="22"/>
          <w:szCs w:val="22"/>
          <w:lang w:val="pt-PT"/>
        </w:rPr>
        <w:t>Laboratório de Microbiologia, Departamento de Ciências Biológicas, Faculdade de Farmácia, Universidade do Porto, Portugal</w:t>
      </w:r>
    </w:p>
    <w:p w14:paraId="11E6A59D" w14:textId="77777777" w:rsidR="001F76B4" w:rsidRPr="00DB273A" w:rsidRDefault="001F76B4" w:rsidP="001F76B4">
      <w:pPr>
        <w:contextualSpacing/>
        <w:jc w:val="center"/>
        <w:rPr>
          <w:rFonts w:ascii="Calibri" w:hAnsi="Calibri" w:cs="Calibri"/>
          <w:color w:val="000000"/>
          <w:sz w:val="22"/>
          <w:szCs w:val="22"/>
        </w:rPr>
      </w:pPr>
      <w:r w:rsidRPr="00DB273A">
        <w:rPr>
          <w:rFonts w:ascii="Calibri" w:hAnsi="Calibri" w:cs="Calibri"/>
          <w:color w:val="000000"/>
          <w:sz w:val="22"/>
          <w:szCs w:val="22"/>
        </w:rPr>
        <w:t>tfotop@eie.gr</w:t>
      </w:r>
    </w:p>
    <w:p w14:paraId="586C34A7" w14:textId="77777777" w:rsidR="001F76B4" w:rsidRPr="00DD4999" w:rsidRDefault="001F76B4" w:rsidP="001F76B4">
      <w:pPr>
        <w:jc w:val="center"/>
        <w:rPr>
          <w:rFonts w:ascii="Calibri" w:hAnsi="Calibri" w:cs="Calibri"/>
          <w:sz w:val="16"/>
          <w:szCs w:val="16"/>
        </w:rPr>
      </w:pPr>
    </w:p>
    <w:p w14:paraId="2E68ABB5" w14:textId="77777777" w:rsidR="001F76B4" w:rsidRPr="00B82C29" w:rsidRDefault="001F76B4" w:rsidP="001F76B4">
      <w:pPr>
        <w:jc w:val="both"/>
        <w:rPr>
          <w:rFonts w:ascii="Calibri" w:hAnsi="Calibri" w:cs="Calibri"/>
          <w:sz w:val="28"/>
          <w:szCs w:val="28"/>
          <w:highlight w:val="yellow"/>
        </w:rPr>
      </w:pPr>
      <w:r w:rsidRPr="00B82C29">
        <w:rPr>
          <w:rFonts w:ascii="Calibri" w:hAnsi="Calibri" w:cs="Calibri"/>
        </w:rPr>
        <w:t xml:space="preserve">Leishmaniasis and Human African Trypanosomiasis (HAT) are neglected tropical diseases (NTDs) impacting the world’s poorest populations in the old and the new world [1]. Current treatments are unsatisfactory, presenting several limitations, including high toxicity, lack of efficacy, and emerging drug resistance [2]. </w:t>
      </w:r>
    </w:p>
    <w:p w14:paraId="008FFE13" w14:textId="77777777" w:rsidR="001F76B4" w:rsidRPr="00B82C29" w:rsidRDefault="001F76B4" w:rsidP="001F76B4">
      <w:pPr>
        <w:jc w:val="both"/>
        <w:rPr>
          <w:rFonts w:ascii="Calibri" w:hAnsi="Calibri" w:cs="Calibri"/>
        </w:rPr>
      </w:pPr>
      <w:r w:rsidRPr="00B82C29">
        <w:rPr>
          <w:rFonts w:ascii="Calibri" w:hAnsi="Calibri" w:cs="Calibri"/>
        </w:rPr>
        <w:t xml:space="preserve">Aiming to enrich the drug pipeline for NTDs with novel chemical entities in this work, we designed and synthesized 41 novel miltefosine bioisosters using a multicomponent reaction methodology in which the key phosphate moiety was replaced by its bioisoster heterocycle 4-thiazolidinone, while, a trimethylammonioethyl or N-methylpiperidiniumethyl or N-methylmorpholiniumethyl group was attached at N3, mimicking the choline head group (Fig. 1). </w:t>
      </w:r>
    </w:p>
    <w:p w14:paraId="2F12BEAC" w14:textId="77777777" w:rsidR="001F76B4" w:rsidRPr="00B82C29" w:rsidRDefault="001F76B4" w:rsidP="001F76B4">
      <w:pPr>
        <w:jc w:val="both"/>
        <w:rPr>
          <w:rFonts w:ascii="Calibri" w:hAnsi="Calibri" w:cs="Calibri"/>
        </w:rPr>
      </w:pPr>
      <w:r w:rsidRPr="00B82C29">
        <w:rPr>
          <w:rFonts w:ascii="Calibri" w:hAnsi="Calibri" w:cs="Calibri"/>
          <w:noProof/>
          <w:lang w:val="el-GR" w:eastAsia="el-GR"/>
        </w:rPr>
        <w:drawing>
          <wp:anchor distT="0" distB="0" distL="114300" distR="114300" simplePos="0" relativeHeight="251663360" behindDoc="0" locked="0" layoutInCell="1" allowOverlap="1" wp14:anchorId="1F64DBAD" wp14:editId="7B4C50D0">
            <wp:simplePos x="0" y="0"/>
            <wp:positionH relativeFrom="margin">
              <wp:align>left</wp:align>
            </wp:positionH>
            <wp:positionV relativeFrom="paragraph">
              <wp:posOffset>80645</wp:posOffset>
            </wp:positionV>
            <wp:extent cx="2833370" cy="1367790"/>
            <wp:effectExtent l="0" t="0" r="508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3370" cy="1367790"/>
                    </a:xfrm>
                    <a:prstGeom prst="rect">
                      <a:avLst/>
                    </a:prstGeom>
                    <a:noFill/>
                  </pic:spPr>
                </pic:pic>
              </a:graphicData>
            </a:graphic>
            <wp14:sizeRelH relativeFrom="page">
              <wp14:pctWidth>0</wp14:pctWidth>
            </wp14:sizeRelH>
            <wp14:sizeRelV relativeFrom="page">
              <wp14:pctHeight>0</wp14:pctHeight>
            </wp14:sizeRelV>
          </wp:anchor>
        </w:drawing>
      </w:r>
    </w:p>
    <w:p w14:paraId="7D29A6EC" w14:textId="77777777" w:rsidR="001F76B4" w:rsidRPr="00B82C29" w:rsidRDefault="001F76B4" w:rsidP="001F76B4">
      <w:pPr>
        <w:jc w:val="center"/>
        <w:rPr>
          <w:rFonts w:ascii="Calibri" w:hAnsi="Calibri" w:cs="Calibri"/>
        </w:rPr>
      </w:pPr>
    </w:p>
    <w:p w14:paraId="41F59A4B" w14:textId="77777777" w:rsidR="001F76B4" w:rsidRPr="00B82C29" w:rsidRDefault="001F76B4" w:rsidP="001F76B4">
      <w:pPr>
        <w:jc w:val="both"/>
        <w:rPr>
          <w:rFonts w:ascii="Calibri" w:hAnsi="Calibri" w:cs="Calibri"/>
          <w:sz w:val="22"/>
          <w:szCs w:val="22"/>
        </w:rPr>
      </w:pPr>
      <w:r w:rsidRPr="00B82C29">
        <w:rPr>
          <w:rFonts w:ascii="Calibri" w:hAnsi="Calibri" w:cs="Calibri"/>
          <w:b/>
          <w:sz w:val="22"/>
          <w:szCs w:val="22"/>
        </w:rPr>
        <w:t>Figure 1.</w:t>
      </w:r>
      <w:r w:rsidRPr="00B82C29">
        <w:rPr>
          <w:rFonts w:ascii="Calibri" w:hAnsi="Calibri" w:cs="Calibri"/>
          <w:sz w:val="22"/>
          <w:szCs w:val="22"/>
        </w:rPr>
        <w:t xml:space="preserve"> Design of the phosphate bioisosteres of the present study.</w:t>
      </w:r>
    </w:p>
    <w:p w14:paraId="062CF65B" w14:textId="77777777" w:rsidR="001F76B4" w:rsidRPr="00B82C29" w:rsidRDefault="001F76B4" w:rsidP="001F76B4">
      <w:pPr>
        <w:contextualSpacing/>
        <w:jc w:val="both"/>
        <w:rPr>
          <w:rFonts w:ascii="Calibri" w:hAnsi="Calibri" w:cs="Calibri"/>
          <w:sz w:val="22"/>
          <w:szCs w:val="22"/>
        </w:rPr>
      </w:pPr>
    </w:p>
    <w:p w14:paraId="05F3C300" w14:textId="77777777" w:rsidR="001F76B4" w:rsidRPr="00B82C29" w:rsidRDefault="001F76B4" w:rsidP="001F76B4">
      <w:pPr>
        <w:jc w:val="both"/>
        <w:rPr>
          <w:rFonts w:ascii="Calibri" w:hAnsi="Calibri" w:cs="Calibri"/>
        </w:rPr>
      </w:pPr>
    </w:p>
    <w:p w14:paraId="738C847B" w14:textId="77777777" w:rsidR="001F76B4" w:rsidRPr="00B82C29" w:rsidRDefault="001F76B4" w:rsidP="001F76B4">
      <w:pPr>
        <w:jc w:val="both"/>
        <w:rPr>
          <w:rFonts w:ascii="Calibri" w:hAnsi="Calibri" w:cs="Calibri"/>
        </w:rPr>
      </w:pPr>
    </w:p>
    <w:p w14:paraId="70C34656" w14:textId="77777777" w:rsidR="001F76B4" w:rsidRPr="00B82C29" w:rsidRDefault="001F76B4" w:rsidP="001F76B4">
      <w:pPr>
        <w:jc w:val="both"/>
        <w:rPr>
          <w:rFonts w:ascii="Calibri" w:hAnsi="Calibri" w:cs="Calibri"/>
        </w:rPr>
      </w:pPr>
    </w:p>
    <w:p w14:paraId="0E6E416A" w14:textId="77777777" w:rsidR="001F76B4" w:rsidRPr="00B82C29" w:rsidRDefault="001F76B4" w:rsidP="001F76B4">
      <w:pPr>
        <w:jc w:val="both"/>
        <w:rPr>
          <w:rFonts w:ascii="Calibri" w:hAnsi="Calibri" w:cs="Calibri"/>
        </w:rPr>
      </w:pPr>
    </w:p>
    <w:p w14:paraId="36D02FD6" w14:textId="77777777" w:rsidR="001F76B4" w:rsidRPr="00DB273A" w:rsidRDefault="001F76B4" w:rsidP="001F76B4">
      <w:pPr>
        <w:jc w:val="both"/>
        <w:rPr>
          <w:rFonts w:ascii="Calibri" w:hAnsi="Calibri" w:cs="Calibri"/>
          <w:sz w:val="22"/>
          <w:szCs w:val="22"/>
        </w:rPr>
      </w:pPr>
      <w:r w:rsidRPr="00B82C29">
        <w:rPr>
          <w:rFonts w:ascii="Calibri" w:hAnsi="Calibri" w:cs="Calibri"/>
        </w:rPr>
        <w:t xml:space="preserve">The compounds were then evaluated for their </w:t>
      </w:r>
      <w:r w:rsidRPr="00B82C29">
        <w:rPr>
          <w:rFonts w:ascii="Calibri" w:hAnsi="Calibri" w:cs="Calibri"/>
          <w:i/>
        </w:rPr>
        <w:t>in vitro</w:t>
      </w:r>
      <w:r w:rsidRPr="00B82C29">
        <w:rPr>
          <w:rFonts w:ascii="Calibri" w:hAnsi="Calibri" w:cs="Calibri"/>
        </w:rPr>
        <w:t xml:space="preserve"> antiparasitic activity against promastigotes and intracellular amastigotes of </w:t>
      </w:r>
      <w:r w:rsidRPr="00B82C29">
        <w:rPr>
          <w:rFonts w:ascii="Calibri" w:hAnsi="Calibri" w:cs="Calibri"/>
          <w:i/>
          <w:iCs/>
        </w:rPr>
        <w:t>Leishmania infantum</w:t>
      </w:r>
      <w:r w:rsidRPr="00B82C29">
        <w:rPr>
          <w:rFonts w:ascii="Calibri" w:hAnsi="Calibri" w:cs="Calibri"/>
        </w:rPr>
        <w:t xml:space="preserve">, </w:t>
      </w:r>
      <w:r w:rsidRPr="00B82C29">
        <w:rPr>
          <w:rFonts w:ascii="Calibri" w:hAnsi="Calibri" w:cs="Calibri"/>
          <w:i/>
        </w:rPr>
        <w:t>Trypanosoma brucei</w:t>
      </w:r>
      <w:r w:rsidRPr="00B82C29">
        <w:rPr>
          <w:rFonts w:ascii="Calibri" w:hAnsi="Calibri" w:cs="Calibri"/>
        </w:rPr>
        <w:t xml:space="preserve"> bloodstream forms and for toxicity against THP1 cells. Six compounds were potent antileishmanial agents, 5 derivatives possessed potent antitrypanosomal activity against </w:t>
      </w:r>
      <w:r w:rsidRPr="00B82C29">
        <w:rPr>
          <w:rFonts w:ascii="Calibri" w:hAnsi="Calibri" w:cs="Calibri"/>
          <w:i/>
        </w:rPr>
        <w:t>T. brucei</w:t>
      </w:r>
      <w:r w:rsidRPr="00B82C29">
        <w:rPr>
          <w:rFonts w:ascii="Calibri" w:hAnsi="Calibri" w:cs="Calibri"/>
        </w:rPr>
        <w:t xml:space="preserve"> and 2 analogues possessed broad spectrum antiparasitic activity. Importantly, the active compounds retained their antileishmanial activity against miltefosine resistant strains. 5 thiazolidinone derivatives with the most promising </w:t>
      </w:r>
      <w:r w:rsidRPr="00B82C29">
        <w:rPr>
          <w:rFonts w:ascii="Calibri" w:hAnsi="Calibri" w:cs="Calibri"/>
        </w:rPr>
        <w:lastRenderedPageBreak/>
        <w:t xml:space="preserve">antiparasitic results were further evaluated for their ADME-Tox and pharmacokinetic (PK) profile. The early </w:t>
      </w:r>
      <w:r w:rsidRPr="00B82C29">
        <w:rPr>
          <w:rFonts w:ascii="Calibri" w:hAnsi="Calibri" w:cs="Calibri"/>
          <w:i/>
        </w:rPr>
        <w:t>in vitro</w:t>
      </w:r>
      <w:r w:rsidRPr="00B82C29">
        <w:rPr>
          <w:rFonts w:ascii="Calibri" w:hAnsi="Calibri" w:cs="Calibri"/>
        </w:rPr>
        <w:t xml:space="preserve"> ADME-Tox didn’t show any biodegradation or liver metabolism issues, while Isozyme-speciﬁc CYP450 experiments revealed that the majority of the active compounds were weak or moderate inhibitors of the CYP450 system except. Finally, the SNAP-PK studies showed favorable levels of the active thiazolidinone analogues and their </w:t>
      </w:r>
      <w:r w:rsidRPr="00B82C29">
        <w:rPr>
          <w:rFonts w:ascii="Calibri" w:hAnsi="Calibri" w:cs="Calibri"/>
          <w:i/>
        </w:rPr>
        <w:t>in vivo</w:t>
      </w:r>
      <w:r w:rsidRPr="00B82C29">
        <w:rPr>
          <w:rFonts w:ascii="Calibri" w:hAnsi="Calibri" w:cs="Calibri"/>
        </w:rPr>
        <w:t xml:space="preserve"> evaluation is in progress. </w:t>
      </w:r>
    </w:p>
    <w:p w14:paraId="6BC804A6" w14:textId="77777777" w:rsidR="001F76B4" w:rsidRPr="00DB273A" w:rsidRDefault="001F76B4" w:rsidP="001F76B4">
      <w:pPr>
        <w:jc w:val="both"/>
        <w:rPr>
          <w:rFonts w:ascii="Calibri" w:hAnsi="Calibri" w:cs="Calibri"/>
          <w:b/>
          <w:bCs/>
          <w:sz w:val="22"/>
          <w:szCs w:val="22"/>
        </w:rPr>
      </w:pPr>
    </w:p>
    <w:p w14:paraId="73674153" w14:textId="77777777" w:rsidR="001F76B4" w:rsidRPr="00DB273A" w:rsidRDefault="001F76B4" w:rsidP="001F76B4">
      <w:pPr>
        <w:jc w:val="both"/>
        <w:rPr>
          <w:rFonts w:asciiTheme="minorHAnsi" w:hAnsiTheme="minorHAnsi" w:cstheme="minorHAnsi"/>
          <w:b/>
          <w:bCs/>
          <w:sz w:val="22"/>
          <w:szCs w:val="22"/>
        </w:rPr>
      </w:pPr>
      <w:r w:rsidRPr="00DB273A">
        <w:rPr>
          <w:rFonts w:asciiTheme="minorHAnsi" w:hAnsiTheme="minorHAnsi" w:cstheme="minorHAnsi"/>
          <w:b/>
          <w:bCs/>
          <w:sz w:val="22"/>
          <w:szCs w:val="22"/>
        </w:rPr>
        <w:t>References</w:t>
      </w:r>
    </w:p>
    <w:p w14:paraId="5B41F214" w14:textId="77777777" w:rsidR="001F76B4" w:rsidRPr="00DB273A" w:rsidRDefault="001F76B4" w:rsidP="001F76B4">
      <w:pPr>
        <w:rPr>
          <w:rFonts w:asciiTheme="minorHAnsi" w:hAnsiTheme="minorHAnsi" w:cstheme="minorHAnsi"/>
          <w:spacing w:val="2"/>
          <w:sz w:val="22"/>
          <w:szCs w:val="22"/>
          <w:shd w:val="clear" w:color="auto" w:fill="FFFFFF"/>
        </w:rPr>
      </w:pPr>
      <w:r w:rsidRPr="00DB273A">
        <w:rPr>
          <w:rFonts w:asciiTheme="minorHAnsi" w:hAnsiTheme="minorHAnsi" w:cstheme="minorHAnsi"/>
          <w:sz w:val="22"/>
          <w:szCs w:val="22"/>
          <w:lang w:val="hu-HU"/>
        </w:rPr>
        <w:t xml:space="preserve">[1] </w:t>
      </w:r>
      <w:hyperlink r:id="rId33" w:anchor=":~:text=NTDs%20are%20diseases%20of%20neglected,with%20stigma%20and%20social%20exclusion" w:history="1">
        <w:r w:rsidRPr="00DB273A">
          <w:rPr>
            <w:rFonts w:asciiTheme="minorHAnsi" w:hAnsiTheme="minorHAnsi" w:cstheme="minorHAnsi"/>
            <w:color w:val="0000FF"/>
            <w:spacing w:val="2"/>
            <w:sz w:val="22"/>
            <w:szCs w:val="22"/>
            <w:u w:val="single"/>
            <w:shd w:val="clear" w:color="auto" w:fill="FFFFFF"/>
          </w:rPr>
          <w:t>https://www.who.int/news-room/questions-and-answers/item/neglected-tropical-diseases#:~:text=NTDs%20are%20diseases%20of%20neglected,with%20stigma%20and%20social%20exclusion</w:t>
        </w:r>
      </w:hyperlink>
    </w:p>
    <w:p w14:paraId="0BF0DCE2" w14:textId="77777777" w:rsidR="001F76B4" w:rsidRPr="00DB273A" w:rsidRDefault="001F76B4" w:rsidP="001F76B4">
      <w:pPr>
        <w:rPr>
          <w:rFonts w:asciiTheme="minorHAnsi" w:hAnsiTheme="minorHAnsi" w:cstheme="minorHAnsi"/>
          <w:spacing w:val="2"/>
          <w:sz w:val="22"/>
          <w:szCs w:val="22"/>
          <w:shd w:val="clear" w:color="auto" w:fill="FFFFFF"/>
        </w:rPr>
      </w:pPr>
      <w:r w:rsidRPr="00DB273A">
        <w:rPr>
          <w:rFonts w:asciiTheme="minorHAnsi" w:hAnsiTheme="minorHAnsi" w:cstheme="minorHAnsi"/>
          <w:spacing w:val="2"/>
          <w:sz w:val="22"/>
          <w:szCs w:val="22"/>
          <w:shd w:val="clear" w:color="auto" w:fill="FFFFFF"/>
        </w:rPr>
        <w:t>[2] Kasozi, K.I.; MacLeod, E.T.; Ntulume, I.; Welburn, S.C. An Update on African Trypanocide Pharmaceutics and Resistance. Front. Vet. Sci. 2022, 9, 828111</w:t>
      </w:r>
    </w:p>
    <w:p w14:paraId="325687FE" w14:textId="77777777" w:rsidR="001F76B4" w:rsidRPr="00DB273A" w:rsidRDefault="001F76B4" w:rsidP="001F76B4">
      <w:pPr>
        <w:rPr>
          <w:rFonts w:asciiTheme="minorHAnsi" w:hAnsiTheme="minorHAnsi" w:cstheme="minorHAnsi"/>
          <w:spacing w:val="2"/>
          <w:sz w:val="22"/>
          <w:szCs w:val="22"/>
          <w:shd w:val="clear" w:color="auto" w:fill="FFFFFF"/>
        </w:rPr>
      </w:pPr>
    </w:p>
    <w:p w14:paraId="3CABF676" w14:textId="77777777" w:rsidR="001F76B4" w:rsidRPr="00DB273A" w:rsidRDefault="001F76B4" w:rsidP="001F76B4">
      <w:pPr>
        <w:rPr>
          <w:rFonts w:asciiTheme="minorHAnsi" w:hAnsiTheme="minorHAnsi" w:cstheme="minorHAnsi"/>
          <w:b/>
          <w:bCs/>
          <w:spacing w:val="2"/>
          <w:sz w:val="22"/>
          <w:szCs w:val="22"/>
          <w:shd w:val="clear" w:color="auto" w:fill="FFFFFF"/>
        </w:rPr>
      </w:pPr>
      <w:r w:rsidRPr="00DB273A">
        <w:rPr>
          <w:rFonts w:asciiTheme="minorHAnsi" w:hAnsiTheme="minorHAnsi" w:cstheme="minorHAnsi"/>
          <w:b/>
          <w:bCs/>
          <w:spacing w:val="2"/>
          <w:sz w:val="22"/>
          <w:szCs w:val="22"/>
          <w:shd w:val="clear" w:color="auto" w:fill="FFFFFF"/>
        </w:rPr>
        <w:t>Acknowledgment</w:t>
      </w:r>
    </w:p>
    <w:p w14:paraId="2C1AE8E1" w14:textId="77777777" w:rsidR="001F76B4" w:rsidRDefault="001F76B4" w:rsidP="001F76B4">
      <w:pPr>
        <w:jc w:val="both"/>
        <w:rPr>
          <w:rFonts w:ascii="Calibri" w:hAnsi="Calibri" w:cs="Calibri"/>
          <w:sz w:val="22"/>
          <w:szCs w:val="22"/>
        </w:rPr>
      </w:pPr>
      <w:r w:rsidRPr="00DB273A">
        <w:rPr>
          <w:rFonts w:asciiTheme="minorHAnsi" w:eastAsia="Calibri" w:hAnsiTheme="minorHAnsi" w:cstheme="minorHAnsi"/>
          <w:sz w:val="22"/>
          <w:szCs w:val="22"/>
        </w:rPr>
        <w:t xml:space="preserve">This work was supported by the project “OPENSCREEN-GR: An Open-Access Research Infrastructure of Chemical Biology and Target-Based Screening Technologies for Human and Animal Health Agriculture and the Environment” “(2018–2020)” (MIS) 5002691 which is implemented under the Action “Reinforcement of the Research and Innovation Infrastructure”, funded by the Operational Programme “Competitiveness, Entrepreneurship and Innovation” (NSRF 2014-2020) and co-financed by Greece and the European Union (European Regional Development Fund), by </w:t>
      </w:r>
      <w:r w:rsidRPr="00DB273A">
        <w:rPr>
          <w:rFonts w:asciiTheme="minorHAnsi" w:hAnsiTheme="minorHAnsi" w:cstheme="minorHAnsi"/>
          <w:sz w:val="22"/>
          <w:szCs w:val="22"/>
        </w:rPr>
        <w:t>Fundação para a Ciência e Tecnologia (FCT)/Ministério da Educação e Ciência (MEC) co-funded by the FEDER through the COMPETE 2020 - Operacional Programme for Competitiveness and Internationalisation (POCI) ref POCI-01-0145-FEDER-031013 and by COST Action CA21111 “</w:t>
      </w:r>
      <w:r w:rsidRPr="00DB273A">
        <w:rPr>
          <w:rFonts w:asciiTheme="minorHAnsi" w:hAnsiTheme="minorHAnsi" w:cstheme="minorHAnsi"/>
          <w:bCs/>
          <w:sz w:val="22"/>
          <w:szCs w:val="22"/>
        </w:rPr>
        <w:t>One Health drugs against parasitic vector borne diseases in Europe and beyond (OneHealthdrugs)”</w:t>
      </w:r>
      <w:r w:rsidRPr="00DB273A">
        <w:rPr>
          <w:rFonts w:asciiTheme="minorHAnsi" w:hAnsiTheme="minorHAnsi" w:cstheme="minorHAnsi"/>
          <w:sz w:val="22"/>
          <w:szCs w:val="22"/>
        </w:rPr>
        <w:t>, supported by COST (European Cooperation in Science and Technology).</w:t>
      </w:r>
      <w:r w:rsidRPr="00DB273A">
        <w:rPr>
          <w:rFonts w:asciiTheme="minorHAnsi" w:hAnsiTheme="minorHAnsi" w:cstheme="minorHAnsi"/>
          <w:spacing w:val="2"/>
          <w:sz w:val="22"/>
          <w:szCs w:val="22"/>
          <w:shd w:val="clear" w:color="auto" w:fill="FFFFFF"/>
        </w:rPr>
        <w:t xml:space="preserve"> </w:t>
      </w:r>
      <w:r w:rsidRPr="00DB273A">
        <w:rPr>
          <w:rFonts w:asciiTheme="minorHAnsi" w:hAnsiTheme="minorHAnsi" w:cstheme="minorHAnsi"/>
          <w:sz w:val="22"/>
          <w:szCs w:val="22"/>
        </w:rPr>
        <w:t>NS is funded by national funds through FCT and co-funded through the European Social Fund within the Human Potential Operating Programme 2021.04285.CEECIND</w:t>
      </w:r>
    </w:p>
    <w:p w14:paraId="1D8EABD9" w14:textId="5A851878" w:rsidR="0026527F" w:rsidRDefault="0026527F">
      <w:pPr>
        <w:rPr>
          <w:rFonts w:ascii="Calibri" w:hAnsi="Calibri" w:cs="Calibri"/>
          <w:bCs/>
          <w:color w:val="000000" w:themeColor="text1"/>
        </w:rPr>
      </w:pPr>
      <w:commentRangeStart w:id="3"/>
      <w:r>
        <w:rPr>
          <w:rFonts w:ascii="Calibri" w:hAnsi="Calibri" w:cs="Calibri"/>
          <w:bCs/>
          <w:color w:val="000000" w:themeColor="text1"/>
        </w:rPr>
        <w:br w:type="page"/>
      </w:r>
      <w:commentRangeEnd w:id="3"/>
      <w:r w:rsidR="008E46EB">
        <w:rPr>
          <w:rStyle w:val="CommentReference"/>
        </w:rPr>
        <w:commentReference w:id="3"/>
      </w:r>
    </w:p>
    <w:p w14:paraId="3F08ABB4" w14:textId="77777777" w:rsidR="001F76B4" w:rsidRDefault="001F76B4" w:rsidP="001F76B4">
      <w:pPr>
        <w:spacing w:line="264" w:lineRule="auto"/>
        <w:jc w:val="both"/>
        <w:rPr>
          <w:rFonts w:ascii="Calibri" w:hAnsi="Calibri" w:cs="Calibri"/>
          <w:bCs/>
          <w:color w:val="000000" w:themeColor="text1"/>
        </w:rPr>
      </w:pPr>
    </w:p>
    <w:p w14:paraId="46A15A63" w14:textId="3F925740" w:rsidR="0026527F" w:rsidRPr="008E46EB" w:rsidRDefault="0026527F" w:rsidP="008E46EB">
      <w:pPr>
        <w:spacing w:line="264" w:lineRule="auto"/>
        <w:jc w:val="center"/>
        <w:rPr>
          <w:rFonts w:ascii="Calibri" w:hAnsi="Calibri" w:cs="Calibri"/>
          <w:b/>
          <w:bCs/>
          <w:color w:val="2E74B5" w:themeColor="accent5" w:themeShade="BF"/>
          <w:lang w:val="en-GB"/>
        </w:rPr>
      </w:pPr>
      <w:r w:rsidRPr="0026527F">
        <w:rPr>
          <w:rFonts w:ascii="Calibri" w:hAnsi="Calibri" w:cs="Calibri"/>
          <w:b/>
          <w:bCs/>
          <w:color w:val="2E74B5" w:themeColor="accent5" w:themeShade="BF"/>
          <w:lang w:val="en-GB"/>
        </w:rPr>
        <w:t xml:space="preserve">Addressing the drug resistance issue by targeting the folate cycle proteins in </w:t>
      </w:r>
      <w:r w:rsidRPr="0026527F">
        <w:rPr>
          <w:rFonts w:ascii="Calibri" w:hAnsi="Calibri" w:cs="Calibri"/>
          <w:b/>
          <w:bCs/>
          <w:i/>
          <w:iCs/>
          <w:color w:val="2E74B5" w:themeColor="accent5" w:themeShade="BF"/>
          <w:lang w:val="en-GB"/>
        </w:rPr>
        <w:t>Trypanosoma brucei</w:t>
      </w:r>
      <w:r w:rsidRPr="0026527F">
        <w:rPr>
          <w:rFonts w:ascii="Calibri" w:hAnsi="Calibri" w:cs="Calibri"/>
          <w:b/>
          <w:bCs/>
          <w:color w:val="2E74B5" w:themeColor="accent5" w:themeShade="BF"/>
          <w:lang w:val="en-GB"/>
        </w:rPr>
        <w:t xml:space="preserve"> and </w:t>
      </w:r>
      <w:r w:rsidRPr="0026527F">
        <w:rPr>
          <w:rFonts w:ascii="Calibri" w:hAnsi="Calibri" w:cs="Calibri"/>
          <w:b/>
          <w:bCs/>
          <w:i/>
          <w:iCs/>
          <w:color w:val="2E74B5" w:themeColor="accent5" w:themeShade="BF"/>
          <w:lang w:val="en-GB"/>
        </w:rPr>
        <w:t>Leishmania major</w:t>
      </w:r>
      <w:r w:rsidRPr="0026527F">
        <w:rPr>
          <w:rFonts w:ascii="Calibri" w:hAnsi="Calibri" w:cs="Calibri"/>
          <w:b/>
          <w:bCs/>
          <w:color w:val="2E74B5" w:themeColor="accent5" w:themeShade="BF"/>
          <w:lang w:val="en-GB"/>
        </w:rPr>
        <w:t xml:space="preserve"> parasites</w:t>
      </w:r>
    </w:p>
    <w:p w14:paraId="31825263" w14:textId="459B9E48" w:rsidR="008E46EB" w:rsidRPr="008160E5" w:rsidRDefault="008E46EB" w:rsidP="008E46EB">
      <w:pPr>
        <w:spacing w:before="100" w:beforeAutospacing="1" w:after="100" w:afterAutospacing="1"/>
        <w:jc w:val="center"/>
        <w:rPr>
          <w:rFonts w:ascii="Calibri" w:hAnsi="Calibri" w:cs="Calibri"/>
          <w:bCs/>
          <w:lang w:val="it-IT"/>
        </w:rPr>
      </w:pPr>
      <w:r w:rsidRPr="008E46EB">
        <w:rPr>
          <w:rFonts w:ascii="Calibri" w:hAnsi="Calibri" w:cs="Calibri"/>
          <w:bCs/>
          <w:u w:val="single"/>
          <w:lang w:val="it-IT"/>
        </w:rPr>
        <w:t>Saporito G.</w:t>
      </w:r>
      <w:r w:rsidRPr="008160E5">
        <w:rPr>
          <w:rFonts w:ascii="Calibri" w:hAnsi="Calibri" w:cs="Calibri"/>
          <w:bCs/>
          <w:lang w:val="it-IT"/>
        </w:rPr>
        <w:t xml:space="preserve"> </w:t>
      </w:r>
      <w:r w:rsidRPr="008160E5">
        <w:rPr>
          <w:rFonts w:ascii="Calibri" w:hAnsi="Calibri" w:cs="Calibri"/>
          <w:bCs/>
          <w:vertAlign w:val="superscript"/>
          <w:lang w:val="it-IT"/>
        </w:rPr>
        <w:t>a</w:t>
      </w:r>
      <w:r w:rsidRPr="008160E5">
        <w:rPr>
          <w:rFonts w:ascii="Calibri" w:hAnsi="Calibri" w:cs="Calibri"/>
          <w:bCs/>
          <w:lang w:val="it-IT"/>
        </w:rPr>
        <w:t>, Francesconi V.</w:t>
      </w:r>
      <w:r w:rsidRPr="008160E5">
        <w:rPr>
          <w:rFonts w:ascii="Calibri" w:hAnsi="Calibri" w:cs="Calibri"/>
          <w:bCs/>
          <w:vertAlign w:val="superscript"/>
          <w:lang w:val="it-IT"/>
        </w:rPr>
        <w:t xml:space="preserve"> b </w:t>
      </w:r>
      <w:r w:rsidRPr="008160E5">
        <w:rPr>
          <w:rFonts w:ascii="Calibri" w:hAnsi="Calibri" w:cs="Calibri"/>
          <w:bCs/>
          <w:lang w:val="it-IT"/>
        </w:rPr>
        <w:t>, Pozzi C.</w:t>
      </w:r>
      <w:r w:rsidRPr="008160E5">
        <w:rPr>
          <w:rFonts w:ascii="Calibri" w:hAnsi="Calibri" w:cs="Calibri"/>
          <w:bCs/>
          <w:vertAlign w:val="superscript"/>
          <w:lang w:val="it-IT"/>
        </w:rPr>
        <w:t>c</w:t>
      </w:r>
      <w:r w:rsidRPr="008160E5">
        <w:rPr>
          <w:rFonts w:ascii="Calibri" w:hAnsi="Calibri" w:cs="Calibri"/>
          <w:bCs/>
          <w:lang w:val="it-IT"/>
        </w:rPr>
        <w:t>, Tonelli M.</w:t>
      </w:r>
      <w:r w:rsidRPr="008160E5">
        <w:rPr>
          <w:rFonts w:ascii="Calibri" w:hAnsi="Calibri" w:cs="Calibri"/>
          <w:bCs/>
          <w:vertAlign w:val="superscript"/>
          <w:lang w:val="it-IT"/>
        </w:rPr>
        <w:t xml:space="preserve"> b*</w:t>
      </w:r>
      <w:r w:rsidRPr="008160E5">
        <w:rPr>
          <w:rFonts w:ascii="Calibri" w:hAnsi="Calibri" w:cs="Calibri"/>
          <w:bCs/>
          <w:lang w:val="it-IT"/>
        </w:rPr>
        <w:t xml:space="preserve"> and Costi M.P.</w:t>
      </w:r>
      <w:r w:rsidRPr="008160E5">
        <w:rPr>
          <w:rFonts w:ascii="Calibri" w:hAnsi="Calibri" w:cs="Calibri"/>
          <w:bCs/>
          <w:vertAlign w:val="superscript"/>
          <w:lang w:val="it-IT"/>
        </w:rPr>
        <w:t xml:space="preserve"> a</w:t>
      </w:r>
    </w:p>
    <w:p w14:paraId="6F9F7A8D" w14:textId="7E141B86" w:rsidR="008E46EB" w:rsidRDefault="008E46EB" w:rsidP="008E46EB">
      <w:pPr>
        <w:spacing w:before="100" w:beforeAutospacing="1" w:after="100" w:afterAutospacing="1"/>
        <w:jc w:val="center"/>
        <w:rPr>
          <w:rFonts w:ascii="Calibri" w:hAnsi="Calibri" w:cs="Calibri"/>
          <w:bCs/>
          <w:sz w:val="22"/>
          <w:szCs w:val="22"/>
          <w:lang w:val="en-GB"/>
        </w:rPr>
      </w:pPr>
      <w:r w:rsidRPr="008160E5">
        <w:rPr>
          <w:rFonts w:ascii="Calibri" w:hAnsi="Calibri" w:cs="Calibri"/>
          <w:bCs/>
          <w:sz w:val="22"/>
          <w:szCs w:val="22"/>
          <w:vertAlign w:val="superscript"/>
          <w:lang w:val="en-GB"/>
        </w:rPr>
        <w:t xml:space="preserve">a </w:t>
      </w:r>
      <w:r w:rsidRPr="008160E5">
        <w:rPr>
          <w:rFonts w:ascii="Calibri" w:hAnsi="Calibri" w:cs="Calibri"/>
          <w:bCs/>
          <w:sz w:val="22"/>
          <w:szCs w:val="22"/>
          <w:lang w:val="en-GB"/>
        </w:rPr>
        <w:t>Department of life Science , University of  Modena and Reggio Emilia , Via Campi 103 , 411225-Modena.</w:t>
      </w:r>
      <w:r w:rsidRPr="008160E5">
        <w:rPr>
          <w:rFonts w:ascii="Calibri" w:hAnsi="Calibri" w:cs="Calibri"/>
          <w:bCs/>
          <w:sz w:val="22"/>
          <w:szCs w:val="22"/>
          <w:vertAlign w:val="superscript"/>
          <w:lang w:val="en-GB"/>
        </w:rPr>
        <w:t xml:space="preserve">b </w:t>
      </w:r>
      <w:r w:rsidRPr="008160E5">
        <w:rPr>
          <w:rFonts w:ascii="Calibri" w:hAnsi="Calibri" w:cs="Calibri"/>
          <w:bCs/>
          <w:sz w:val="22"/>
          <w:szCs w:val="22"/>
          <w:lang w:val="en-GB"/>
        </w:rPr>
        <w:t xml:space="preserve"> Department of Pharmacy, University of Genoa , Viale Benedetto XV 3 , 16132-Genoa. </w:t>
      </w:r>
      <w:r w:rsidRPr="008160E5">
        <w:rPr>
          <w:rFonts w:ascii="Calibri" w:hAnsi="Calibri" w:cs="Calibri"/>
          <w:bCs/>
          <w:sz w:val="22"/>
          <w:szCs w:val="22"/>
          <w:vertAlign w:val="superscript"/>
          <w:lang w:val="en-GB"/>
        </w:rPr>
        <w:t xml:space="preserve">c </w:t>
      </w:r>
      <w:r w:rsidRPr="008160E5">
        <w:rPr>
          <w:rFonts w:ascii="Calibri" w:hAnsi="Calibri" w:cs="Calibri"/>
          <w:bCs/>
          <w:sz w:val="22"/>
          <w:szCs w:val="22"/>
          <w:lang w:val="en-GB"/>
        </w:rPr>
        <w:t>Department of Biotechnology, Chemistry and Pharmacy , University of Siena , Via Aldo Moro 2 , 53100 Siena</w:t>
      </w:r>
    </w:p>
    <w:p w14:paraId="1798A33B" w14:textId="61BA5D56" w:rsidR="008E46EB" w:rsidRPr="008160E5" w:rsidRDefault="008E46EB" w:rsidP="008E46EB">
      <w:pPr>
        <w:spacing w:before="100" w:beforeAutospacing="1" w:after="100" w:afterAutospacing="1"/>
        <w:jc w:val="center"/>
        <w:rPr>
          <w:rFonts w:ascii="Calibri" w:hAnsi="Calibri" w:cs="Calibri"/>
          <w:bCs/>
          <w:sz w:val="22"/>
          <w:szCs w:val="22"/>
          <w:lang w:val="en-GB"/>
        </w:rPr>
      </w:pPr>
      <w:r w:rsidRPr="008E46EB">
        <w:rPr>
          <w:rFonts w:ascii="Calibri" w:hAnsi="Calibri" w:cs="Calibri"/>
          <w:bCs/>
          <w:sz w:val="22"/>
          <w:szCs w:val="22"/>
          <w:lang w:val="en-GB"/>
        </w:rPr>
        <w:t>giulia.saporito@unimore.it</w:t>
      </w:r>
    </w:p>
    <w:p w14:paraId="542D6437" w14:textId="77777777" w:rsidR="008E46EB" w:rsidRPr="00B82C29" w:rsidRDefault="008E46EB" w:rsidP="008E46EB">
      <w:pPr>
        <w:jc w:val="both"/>
        <w:rPr>
          <w:rFonts w:asciiTheme="minorHAnsi" w:hAnsiTheme="minorHAnsi" w:cstheme="minorHAnsi"/>
          <w:lang w:val="en-GB"/>
        </w:rPr>
      </w:pPr>
      <w:r w:rsidRPr="00B82C29">
        <w:rPr>
          <w:rFonts w:asciiTheme="minorHAnsi" w:hAnsiTheme="minorHAnsi" w:cstheme="minorHAnsi"/>
          <w:lang w:val="en-GB"/>
        </w:rPr>
        <w:t xml:space="preserve">Human African Trypanosomiasis (HAT), also known as sleeping sickness, remains a neglected tropical disease despite control programs having significantly reduced its prevalence. The WHO’s 2030 eradication target highlights the need for innovative and collaborative efforts, such as the One Health approach. [1]The disease, caused by </w:t>
      </w:r>
      <w:r w:rsidRPr="00B82C29">
        <w:rPr>
          <w:rFonts w:asciiTheme="minorHAnsi" w:hAnsiTheme="minorHAnsi" w:cstheme="minorHAnsi"/>
          <w:i/>
          <w:iCs/>
          <w:lang w:val="en-GB"/>
        </w:rPr>
        <w:t>Trypanosoma brucei</w:t>
      </w:r>
      <w:r w:rsidRPr="00B82C29">
        <w:rPr>
          <w:rFonts w:asciiTheme="minorHAnsi" w:hAnsiTheme="minorHAnsi" w:cstheme="minorHAnsi"/>
          <w:lang w:val="en-GB"/>
        </w:rPr>
        <w:t xml:space="preserve">, is treated with a limited set of six drugs, including the recently introduced fexinidazole. However, issues related to toxicity, resistance, and costs complicate treatment, making the development of safer and more effective therapies essential. Research into enzymes involved in folate metabolism, particularly dihydrofolate reductase (DHFR) and pteridine reductase 1 (PTR1), represents a promising avenue. Addressing folate metabolism in </w:t>
      </w:r>
      <w:r w:rsidRPr="00B82C29">
        <w:rPr>
          <w:rFonts w:asciiTheme="minorHAnsi" w:hAnsiTheme="minorHAnsi" w:cstheme="minorHAnsi"/>
          <w:i/>
          <w:iCs/>
          <w:lang w:val="en-GB"/>
        </w:rPr>
        <w:t>Trypanosoma</w:t>
      </w:r>
      <w:r w:rsidRPr="00B82C29">
        <w:rPr>
          <w:rFonts w:asciiTheme="minorHAnsi" w:hAnsiTheme="minorHAnsi" w:cstheme="minorHAnsi"/>
          <w:lang w:val="en-GB"/>
        </w:rPr>
        <w:t xml:space="preserve"> and related parasites such as </w:t>
      </w:r>
      <w:r w:rsidRPr="00B82C29">
        <w:rPr>
          <w:rFonts w:asciiTheme="minorHAnsi" w:hAnsiTheme="minorHAnsi" w:cstheme="minorHAnsi"/>
          <w:i/>
          <w:iCs/>
          <w:lang w:val="en-GB"/>
        </w:rPr>
        <w:t>Leishmania</w:t>
      </w:r>
      <w:r w:rsidRPr="00B82C29">
        <w:rPr>
          <w:rFonts w:asciiTheme="minorHAnsi" w:hAnsiTheme="minorHAnsi" w:cstheme="minorHAnsi"/>
          <w:lang w:val="en-GB"/>
        </w:rPr>
        <w:t xml:space="preserve"> offers dual potential to combat other parasitic diseases, such as leishmaniasis. Continued research is vital to support global eradication efforts for HAT and related diseases.[2] The present study aims to demonstrate the activity of new 1,3,5-triazine derivatives against the dihydrofolate reductase (DHFR) of </w:t>
      </w:r>
      <w:r w:rsidRPr="00B82C29">
        <w:rPr>
          <w:rFonts w:asciiTheme="minorHAnsi" w:hAnsiTheme="minorHAnsi" w:cstheme="minorHAnsi"/>
          <w:i/>
          <w:iCs/>
          <w:lang w:val="en-GB"/>
        </w:rPr>
        <w:t>Trypanosoma brucei</w:t>
      </w:r>
      <w:r w:rsidRPr="00B82C29">
        <w:rPr>
          <w:rFonts w:asciiTheme="minorHAnsi" w:hAnsiTheme="minorHAnsi" w:cstheme="minorHAnsi"/>
          <w:lang w:val="en-GB"/>
        </w:rPr>
        <w:t xml:space="preserve"> and </w:t>
      </w:r>
      <w:r w:rsidRPr="00B82C29">
        <w:rPr>
          <w:rFonts w:asciiTheme="minorHAnsi" w:hAnsiTheme="minorHAnsi" w:cstheme="minorHAnsi"/>
          <w:i/>
          <w:iCs/>
          <w:lang w:val="en-GB"/>
        </w:rPr>
        <w:t>Leishmania major</w:t>
      </w:r>
      <w:r w:rsidRPr="00B82C29">
        <w:rPr>
          <w:rFonts w:asciiTheme="minorHAnsi" w:hAnsiTheme="minorHAnsi" w:cstheme="minorHAnsi"/>
          <w:lang w:val="en-GB"/>
        </w:rPr>
        <w:t xml:space="preserve">. The synthesized 1,3,5-triazine derivatives were also tested against two additional targets: pteridine reductase 1 of </w:t>
      </w:r>
      <w:r w:rsidRPr="00B82C29">
        <w:rPr>
          <w:rFonts w:asciiTheme="minorHAnsi" w:hAnsiTheme="minorHAnsi" w:cstheme="minorHAnsi"/>
          <w:i/>
          <w:iCs/>
          <w:lang w:val="en-GB"/>
        </w:rPr>
        <w:t>Trypanosoma brucei</w:t>
      </w:r>
      <w:r w:rsidRPr="00B82C29">
        <w:rPr>
          <w:rFonts w:asciiTheme="minorHAnsi" w:hAnsiTheme="minorHAnsi" w:cstheme="minorHAnsi"/>
          <w:lang w:val="en-GB"/>
        </w:rPr>
        <w:t xml:space="preserve"> and human DHFR, to evaluate toxicity and species specificity. Moreover, for both targets, production and purification protocols were optimized to achieve higher yields. The 1,3,5-triazine derivatives exhibited activity (IC50) in the low micromolar range (1–20 µM) against the DHFR of </w:t>
      </w:r>
      <w:r w:rsidRPr="00B82C29">
        <w:rPr>
          <w:rFonts w:asciiTheme="minorHAnsi" w:hAnsiTheme="minorHAnsi" w:cstheme="minorHAnsi"/>
          <w:i/>
          <w:iCs/>
          <w:lang w:val="en-GB"/>
        </w:rPr>
        <w:t>Trypanosoma brucei</w:t>
      </w:r>
      <w:r w:rsidRPr="00B82C29">
        <w:rPr>
          <w:rFonts w:asciiTheme="minorHAnsi" w:hAnsiTheme="minorHAnsi" w:cstheme="minorHAnsi"/>
          <w:lang w:val="en-GB"/>
        </w:rPr>
        <w:t xml:space="preserve"> and </w:t>
      </w:r>
      <w:r w:rsidRPr="00B82C29">
        <w:rPr>
          <w:rFonts w:asciiTheme="minorHAnsi" w:hAnsiTheme="minorHAnsi" w:cstheme="minorHAnsi"/>
          <w:i/>
          <w:iCs/>
          <w:lang w:val="en-GB"/>
        </w:rPr>
        <w:t>Leishmania major</w:t>
      </w:r>
      <w:r w:rsidRPr="00B82C29">
        <w:rPr>
          <w:rFonts w:asciiTheme="minorHAnsi" w:hAnsiTheme="minorHAnsi" w:cstheme="minorHAnsi"/>
          <w:lang w:val="en-GB"/>
        </w:rPr>
        <w:t xml:space="preserve">, while showing activity in the high micromolar range (100–400 µM) against the pteridine reductase 1 of </w:t>
      </w:r>
      <w:r w:rsidRPr="00B82C29">
        <w:rPr>
          <w:rFonts w:asciiTheme="minorHAnsi" w:hAnsiTheme="minorHAnsi" w:cstheme="minorHAnsi"/>
          <w:i/>
          <w:iCs/>
          <w:lang w:val="en-GB"/>
        </w:rPr>
        <w:t>Trypanosoma brucei</w:t>
      </w:r>
      <w:r w:rsidRPr="00B82C29">
        <w:rPr>
          <w:rFonts w:asciiTheme="minorHAnsi" w:hAnsiTheme="minorHAnsi" w:cstheme="minorHAnsi"/>
          <w:lang w:val="en-GB"/>
        </w:rPr>
        <w:t>. However, the compounds also demonstrated activity in the low micromolar range (10–30 µM) against human DHFR, indicating a lack of specificity toward parasitic proteins. In conclusion, it can be stated that some of these compounds could serve as promising inhibitors for the treatment of trypanosomiasis, provided they are further developed.</w:t>
      </w:r>
    </w:p>
    <w:p w14:paraId="6C6A6885" w14:textId="77777777" w:rsidR="008E46EB" w:rsidRPr="008160E5" w:rsidRDefault="008E46EB" w:rsidP="008E46EB">
      <w:pPr>
        <w:jc w:val="both"/>
        <w:rPr>
          <w:rFonts w:asciiTheme="minorHAnsi" w:hAnsiTheme="minorHAnsi" w:cstheme="minorHAnsi"/>
          <w:sz w:val="22"/>
          <w:szCs w:val="22"/>
          <w:lang w:val="en-GB"/>
        </w:rPr>
      </w:pPr>
    </w:p>
    <w:p w14:paraId="4938AEA7" w14:textId="77777777" w:rsidR="008E46EB" w:rsidRPr="00B82C29" w:rsidRDefault="008E46EB" w:rsidP="008E46EB">
      <w:pPr>
        <w:rPr>
          <w:rFonts w:ascii="Calibri" w:hAnsi="Calibri" w:cs="Calibri"/>
          <w:b/>
          <w:bCs/>
          <w:sz w:val="22"/>
          <w:szCs w:val="22"/>
          <w:lang w:val="it-IT"/>
        </w:rPr>
      </w:pPr>
      <w:r w:rsidRPr="00B82C29">
        <w:rPr>
          <w:rFonts w:ascii="Calibri" w:hAnsi="Calibri" w:cs="Calibri"/>
          <w:b/>
          <w:bCs/>
          <w:sz w:val="22"/>
          <w:szCs w:val="22"/>
          <w:lang w:val="it-IT"/>
        </w:rPr>
        <w:t>References</w:t>
      </w:r>
    </w:p>
    <w:p w14:paraId="1E910B92" w14:textId="77777777" w:rsidR="008E46EB" w:rsidRPr="00B82C29" w:rsidRDefault="008E46EB" w:rsidP="008E46EB">
      <w:pPr>
        <w:pStyle w:val="Bibliography"/>
        <w:jc w:val="both"/>
        <w:rPr>
          <w:rFonts w:asciiTheme="minorHAnsi" w:hAnsiTheme="minorHAnsi" w:cstheme="minorHAnsi"/>
          <w:sz w:val="22"/>
          <w:szCs w:val="22"/>
          <w:lang w:val="en-GB"/>
        </w:rPr>
      </w:pPr>
      <w:r w:rsidRPr="00B82C29">
        <w:rPr>
          <w:rFonts w:asciiTheme="minorHAnsi" w:hAnsiTheme="minorHAnsi" w:cstheme="minorHAnsi"/>
          <w:sz w:val="22"/>
          <w:szCs w:val="22"/>
          <w:lang w:val="it-IT"/>
        </w:rPr>
        <w:t xml:space="preserve">[1] Francesconi V, et al. </w:t>
      </w:r>
      <w:r w:rsidRPr="00B82C29">
        <w:rPr>
          <w:rFonts w:asciiTheme="minorHAnsi" w:hAnsiTheme="minorHAnsi" w:cstheme="minorHAnsi"/>
          <w:sz w:val="22"/>
          <w:szCs w:val="22"/>
          <w:lang w:val="en-GB"/>
        </w:rPr>
        <w:t>Identification of Innovative Folate Inhibitors Leveraging the Amino Dihydrotriazine Motif from Cycloguanil for Their Potential as Anti-</w:t>
      </w:r>
      <w:r w:rsidRPr="00B82C29">
        <w:rPr>
          <w:rFonts w:asciiTheme="minorHAnsi" w:hAnsiTheme="minorHAnsi" w:cstheme="minorHAnsi"/>
          <w:i/>
          <w:iCs/>
          <w:sz w:val="22"/>
          <w:szCs w:val="22"/>
          <w:lang w:val="en-GB"/>
        </w:rPr>
        <w:t>Trypanosoma brucei</w:t>
      </w:r>
      <w:r w:rsidRPr="00B82C29">
        <w:rPr>
          <w:rFonts w:asciiTheme="minorHAnsi" w:hAnsiTheme="minorHAnsi" w:cstheme="minorHAnsi"/>
          <w:sz w:val="22"/>
          <w:szCs w:val="22"/>
          <w:lang w:val="en-GB"/>
        </w:rPr>
        <w:t xml:space="preserve"> Agents. ACS Infect Dis. 2024 Aug 9;10(8):2755-2774. doi: 10.1021/acsinfecdis.4c00113. Epub 2024 Jul 2. </w:t>
      </w:r>
    </w:p>
    <w:p w14:paraId="3D759DC8" w14:textId="77777777" w:rsidR="008E46EB" w:rsidRPr="00B82C29" w:rsidRDefault="008E46EB" w:rsidP="008E46EB">
      <w:pPr>
        <w:jc w:val="both"/>
        <w:rPr>
          <w:rFonts w:asciiTheme="minorHAnsi" w:hAnsiTheme="minorHAnsi" w:cstheme="minorHAnsi"/>
          <w:sz w:val="22"/>
          <w:szCs w:val="22"/>
          <w:lang w:val="en-GB"/>
        </w:rPr>
      </w:pPr>
      <w:r w:rsidRPr="00B82C29">
        <w:rPr>
          <w:rFonts w:asciiTheme="minorHAnsi" w:hAnsiTheme="minorHAnsi" w:cstheme="minorHAnsi"/>
          <w:sz w:val="22"/>
          <w:szCs w:val="22"/>
          <w:lang w:val="en-GB"/>
        </w:rPr>
        <w:t>[2] Gibson MW, Dewar S, Ong HB, Sienkiewicz N, Fairlamb AH. Trypanosoma brucei DHFR-TS Revisited: Characterisation of a Bifunctional and Highly Unstable Recombinant Dihydrofolate Reductase-Thymidylate Synthase. PLoS Negl Trop Dis. 2016 May 13;10(5):e0004714. doi: 10.1371/journal.pntd.0004714. PMID: 27175479; PMCID: PMC4866688.</w:t>
      </w:r>
    </w:p>
    <w:p w14:paraId="6432CEE8" w14:textId="77777777" w:rsidR="008E46EB" w:rsidRDefault="008E46EB" w:rsidP="008E46EB">
      <w:pPr>
        <w:rPr>
          <w:rFonts w:ascii="Calibri" w:hAnsi="Calibri" w:cs="Calibri"/>
          <w:sz w:val="22"/>
          <w:szCs w:val="22"/>
        </w:rPr>
      </w:pPr>
    </w:p>
    <w:p w14:paraId="0C387E8A" w14:textId="77777777" w:rsidR="008E46EB" w:rsidRPr="00F737B8" w:rsidRDefault="008E46EB" w:rsidP="008E46EB">
      <w:pPr>
        <w:rPr>
          <w:rFonts w:ascii="Calibri" w:hAnsi="Calibri" w:cs="Calibri"/>
          <w:b/>
          <w:bCs/>
          <w:sz w:val="22"/>
          <w:szCs w:val="22"/>
        </w:rPr>
      </w:pPr>
      <w:r w:rsidRPr="00F737B8">
        <w:rPr>
          <w:rFonts w:ascii="Calibri" w:hAnsi="Calibri" w:cs="Calibri"/>
          <w:b/>
          <w:bCs/>
          <w:sz w:val="22"/>
          <w:szCs w:val="22"/>
        </w:rPr>
        <w:t>Acknowledgment</w:t>
      </w:r>
    </w:p>
    <w:p w14:paraId="6E5B28F4" w14:textId="77777777" w:rsidR="008E46EB" w:rsidRPr="00F737B8" w:rsidRDefault="008E46EB" w:rsidP="008E46EB">
      <w:pPr>
        <w:rPr>
          <w:rFonts w:ascii="Calibri" w:hAnsi="Calibri" w:cs="Calibri"/>
          <w:sz w:val="22"/>
          <w:szCs w:val="22"/>
        </w:rPr>
      </w:pPr>
      <w:r w:rsidRPr="00F737B8">
        <w:rPr>
          <w:rFonts w:ascii="Calibri" w:hAnsi="Calibri" w:cs="Calibri"/>
          <w:sz w:val="22"/>
          <w:szCs w:val="22"/>
        </w:rPr>
        <w:t xml:space="preserve">The Authors acknowledge </w:t>
      </w:r>
      <w:r>
        <w:rPr>
          <w:rFonts w:ascii="Calibri" w:hAnsi="Calibri" w:cs="Calibri"/>
          <w:sz w:val="22"/>
          <w:szCs w:val="22"/>
        </w:rPr>
        <w:t>Cost Action CA21111</w:t>
      </w:r>
      <w:r w:rsidRPr="00F737B8">
        <w:rPr>
          <w:rFonts w:ascii="Calibri" w:hAnsi="Calibri" w:cs="Calibri"/>
          <w:sz w:val="22"/>
          <w:szCs w:val="22"/>
        </w:rPr>
        <w:t xml:space="preserve"> for the financial support.</w:t>
      </w:r>
    </w:p>
    <w:p w14:paraId="3A3F1B04" w14:textId="77777777" w:rsidR="008E46EB" w:rsidRDefault="008E46EB" w:rsidP="008E46EB">
      <w:pPr>
        <w:rPr>
          <w:rFonts w:ascii="Calibri" w:hAnsi="Calibri" w:cs="Calibri"/>
          <w:sz w:val="22"/>
          <w:szCs w:val="22"/>
        </w:rPr>
      </w:pPr>
    </w:p>
    <w:p w14:paraId="7E28FBF0" w14:textId="21FC4464" w:rsidR="0026527F" w:rsidRDefault="0026527F" w:rsidP="0026527F">
      <w:pPr>
        <w:spacing w:line="264" w:lineRule="auto"/>
        <w:jc w:val="center"/>
        <w:rPr>
          <w:rFonts w:ascii="Calibri" w:hAnsi="Calibri" w:cs="Calibri"/>
          <w:bCs/>
          <w:color w:val="000000" w:themeColor="text1"/>
          <w:lang w:val="en-GB"/>
        </w:rPr>
      </w:pPr>
    </w:p>
    <w:p w14:paraId="7BA3A769" w14:textId="505A5BBB" w:rsidR="0026527F" w:rsidRDefault="0026527F">
      <w:pPr>
        <w:rPr>
          <w:rFonts w:ascii="Calibri" w:hAnsi="Calibri" w:cs="Calibri"/>
          <w:bCs/>
          <w:color w:val="000000" w:themeColor="text1"/>
          <w:lang w:val="en-GB"/>
        </w:rPr>
      </w:pPr>
      <w:r>
        <w:rPr>
          <w:rFonts w:ascii="Calibri" w:hAnsi="Calibri" w:cs="Calibri"/>
          <w:bCs/>
          <w:color w:val="000000" w:themeColor="text1"/>
          <w:lang w:val="en-GB"/>
        </w:rPr>
        <w:br w:type="page"/>
      </w:r>
    </w:p>
    <w:p w14:paraId="74C4A3A7" w14:textId="77777777" w:rsidR="0026527F" w:rsidRDefault="0026527F" w:rsidP="0026527F">
      <w:pPr>
        <w:spacing w:line="264" w:lineRule="auto"/>
        <w:jc w:val="center"/>
        <w:rPr>
          <w:rFonts w:ascii="Calibri" w:hAnsi="Calibri" w:cs="Calibri"/>
          <w:b/>
          <w:bCs/>
          <w:color w:val="2E74B5" w:themeColor="accent5" w:themeShade="BF"/>
          <w:lang w:val="en-GB"/>
        </w:rPr>
      </w:pPr>
      <w:r w:rsidRPr="0026527F">
        <w:rPr>
          <w:rFonts w:ascii="Calibri" w:hAnsi="Calibri" w:cs="Calibri"/>
          <w:b/>
          <w:bCs/>
          <w:color w:val="2E74B5" w:themeColor="accent5" w:themeShade="BF"/>
          <w:lang w:val="en-GB"/>
        </w:rPr>
        <w:lastRenderedPageBreak/>
        <w:t>Participatory and molecular surveillance of tick-borne theileriosis, and anaplasmosis in district Bahawalpur, Punjab,Pakistan</w:t>
      </w:r>
    </w:p>
    <w:p w14:paraId="2C0BD3F3" w14:textId="105397D8" w:rsidR="00D01277" w:rsidRPr="00D01277" w:rsidRDefault="00D01277" w:rsidP="00D01277">
      <w:pPr>
        <w:jc w:val="center"/>
        <w:rPr>
          <w:rFonts w:asciiTheme="minorHAnsi" w:hAnsiTheme="minorHAnsi" w:cstheme="minorHAnsi"/>
        </w:rPr>
      </w:pPr>
      <w:r w:rsidRPr="00D01277">
        <w:rPr>
          <w:rFonts w:asciiTheme="minorHAnsi" w:hAnsiTheme="minorHAnsi" w:cstheme="minorHAnsi"/>
        </w:rPr>
        <w:t>Tahira Iftakhar</w:t>
      </w:r>
      <w:r w:rsidRPr="00D01277">
        <w:rPr>
          <w:rFonts w:asciiTheme="minorHAnsi" w:hAnsiTheme="minorHAnsi" w:cstheme="minorHAnsi"/>
          <w:vertAlign w:val="superscript"/>
        </w:rPr>
        <w:t>a</w:t>
      </w:r>
      <w:r w:rsidRPr="00D01277">
        <w:rPr>
          <w:rFonts w:asciiTheme="minorHAnsi" w:hAnsiTheme="minorHAnsi" w:cstheme="minorHAnsi"/>
        </w:rPr>
        <w:t>, Muhammad Sohail Sajid</w:t>
      </w:r>
      <w:r w:rsidRPr="00D01277">
        <w:rPr>
          <w:rFonts w:asciiTheme="minorHAnsi" w:hAnsiTheme="minorHAnsi" w:cstheme="minorHAnsi"/>
          <w:vertAlign w:val="superscript"/>
        </w:rPr>
        <w:t>a</w:t>
      </w:r>
      <w:r w:rsidRPr="00D01277">
        <w:rPr>
          <w:rFonts w:asciiTheme="minorHAnsi" w:hAnsiTheme="minorHAnsi" w:cstheme="minorHAnsi"/>
        </w:rPr>
        <w:t>, Hafiz Muhammad Rizwan</w:t>
      </w:r>
      <w:r w:rsidRPr="00D01277">
        <w:rPr>
          <w:rFonts w:asciiTheme="minorHAnsi" w:hAnsiTheme="minorHAnsi" w:cstheme="minorHAnsi"/>
          <w:vertAlign w:val="superscript"/>
        </w:rPr>
        <w:t>b</w:t>
      </w:r>
      <w:r w:rsidRPr="00D01277">
        <w:rPr>
          <w:rFonts w:asciiTheme="minorHAnsi" w:hAnsiTheme="minorHAnsi" w:cstheme="minorHAnsi"/>
        </w:rPr>
        <w:t>, Muhammad Kashif Hussain</w:t>
      </w:r>
      <w:r w:rsidRPr="00D01277">
        <w:rPr>
          <w:rFonts w:asciiTheme="minorHAnsi" w:hAnsiTheme="minorHAnsi" w:cstheme="minorHAnsi"/>
          <w:vertAlign w:val="superscript"/>
        </w:rPr>
        <w:t>a</w:t>
      </w:r>
    </w:p>
    <w:p w14:paraId="26EBCB14" w14:textId="77777777" w:rsidR="00B707B4" w:rsidRPr="00D01277" w:rsidRDefault="00B707B4" w:rsidP="00B707B4">
      <w:pPr>
        <w:spacing w:line="264" w:lineRule="auto"/>
        <w:jc w:val="center"/>
        <w:rPr>
          <w:rFonts w:asciiTheme="minorHAnsi" w:hAnsiTheme="minorHAnsi" w:cstheme="minorHAnsi"/>
          <w:color w:val="000000" w:themeColor="text1"/>
          <w:sz w:val="22"/>
          <w:szCs w:val="22"/>
        </w:rPr>
      </w:pPr>
      <w:r w:rsidRPr="00D01277">
        <w:rPr>
          <w:rFonts w:asciiTheme="minorHAnsi" w:hAnsiTheme="minorHAnsi" w:cstheme="minorHAnsi"/>
          <w:color w:val="000000" w:themeColor="text1"/>
          <w:sz w:val="22"/>
          <w:szCs w:val="22"/>
          <w:vertAlign w:val="superscript"/>
        </w:rPr>
        <w:t>a</w:t>
      </w:r>
      <w:r w:rsidRPr="00D01277">
        <w:rPr>
          <w:rFonts w:asciiTheme="minorHAnsi" w:hAnsiTheme="minorHAnsi" w:cstheme="minorHAnsi"/>
          <w:color w:val="000000" w:themeColor="text1"/>
          <w:sz w:val="22"/>
          <w:szCs w:val="22"/>
        </w:rPr>
        <w:t xml:space="preserve"> University of Agriculture Faisalabad, Punjab, Pakistan , KBCMA College of Veterinary and Animal Sciences (CVAS) Narrowal, Punjab, Pakistan</w:t>
      </w:r>
    </w:p>
    <w:p w14:paraId="3EDA7736" w14:textId="77777777" w:rsidR="00B707B4" w:rsidRPr="00B707B4" w:rsidRDefault="00000000" w:rsidP="00B707B4">
      <w:pPr>
        <w:spacing w:line="264" w:lineRule="auto"/>
        <w:jc w:val="center"/>
        <w:rPr>
          <w:rFonts w:ascii="Calibri" w:hAnsi="Calibri" w:cs="Calibri"/>
          <w:color w:val="000000" w:themeColor="text1"/>
        </w:rPr>
      </w:pPr>
      <w:hyperlink r:id="rId38">
        <w:r w:rsidR="00B707B4" w:rsidRPr="00D01277">
          <w:rPr>
            <w:rStyle w:val="Hyperlink"/>
            <w:rFonts w:asciiTheme="minorHAnsi" w:hAnsiTheme="minorHAnsi" w:cstheme="minorHAnsi"/>
            <w:sz w:val="22"/>
            <w:szCs w:val="22"/>
          </w:rPr>
          <w:t>Tahiraiftakhar1234@gmail.com</w:t>
        </w:r>
      </w:hyperlink>
    </w:p>
    <w:p w14:paraId="5E1C2E41" w14:textId="77777777" w:rsidR="00B707B4" w:rsidRPr="00B707B4" w:rsidRDefault="00B707B4" w:rsidP="00B707B4">
      <w:pPr>
        <w:spacing w:line="264" w:lineRule="auto"/>
        <w:jc w:val="center"/>
        <w:rPr>
          <w:rFonts w:ascii="Calibri" w:hAnsi="Calibri" w:cs="Calibri"/>
          <w:color w:val="000000" w:themeColor="text1"/>
        </w:rPr>
      </w:pPr>
    </w:p>
    <w:p w14:paraId="7A275312" w14:textId="77777777" w:rsidR="00B707B4" w:rsidRPr="00B707B4" w:rsidRDefault="00B707B4" w:rsidP="00B707B4">
      <w:pPr>
        <w:spacing w:line="264" w:lineRule="auto"/>
        <w:jc w:val="both"/>
        <w:rPr>
          <w:rFonts w:ascii="Calibri" w:hAnsi="Calibri" w:cs="Calibri"/>
          <w:color w:val="000000" w:themeColor="text1"/>
        </w:rPr>
      </w:pPr>
      <w:r w:rsidRPr="00B707B4">
        <w:rPr>
          <w:rFonts w:ascii="Calibri" w:hAnsi="Calibri" w:cs="Calibri"/>
          <w:color w:val="000000" w:themeColor="text1"/>
        </w:rPr>
        <w:t>Ticks (Acari: Ixodidae) are vicious –blood-sucking ectoparasites of livestock extensively found around the globe and cause significant economic losses. They vector a higher range of important pathogenic agents including Theileria spp. and Anaplasma spp. The aim of present study is to specify the molecular epidemiology and its associated risk factors of two well-distributed tick- borne protozoa and bacteria Theileria spp. and Anaplasma spp. in cattle population from Bahawalpur, Punjab, Pakistan. Blood and ticks samples were collected from local breed cattle,crossbreed, cholistani and from exotic breed with total of 384 blood samples and four species of ticks. Genus-specific PCR assays were performed to detect the presence of Anaplasma spp. And Theileria spp. based on 16S rRNA and MPSP makers. PCR results showed that Anaplasma was 17% prevalent and Theileria was 25.9 % prevalent in the study area with comorbidities prevalence rate was 25% in the tested blood samples. Univarable analysis of risk factors showed that only breed and acaricidal treatment were significant determinants (P &amp;lt; 0.05) for these comorbidities, however, in case of Theileria spp. and Anaplasma spp. ,breed, age, gender,grazing practice, season, presence of poultry on farm and acaricidal treatment were potential determinants (P &amp;lt; 0.05). Multivariable analysis specified that breed and acaricidal treatment were considered as significant risk factors for these infections (P &amp;lt; 0.05) whereas acaricidal treatment was found to be a significant determinant for comorbidities (P &amp;lt; 0.05). Phylogenetic analysis indicated that Anaplasma spp. and Theileria spp. isolates showed similarities and shared phylogeny with same isolates reported from Asia, China, Europe and Japan. This is the first molecular report on the epidemiology and risk factors analysis of Anaplasma spp. and Theileria spp. infections in cattle population from Bahawalpur, Pakistan. Further large-scale study is required to investigate molecular, epidemiological and genotypic aspects as well as potential risk factors analysis from the country to facilitate designing strategies to control tick-borne pathogen and reduce losses to cattle industry.</w:t>
      </w:r>
    </w:p>
    <w:p w14:paraId="51AAC31D" w14:textId="77777777" w:rsidR="00B707B4" w:rsidRPr="00B707B4" w:rsidRDefault="00B707B4" w:rsidP="00B707B4">
      <w:pPr>
        <w:spacing w:line="264" w:lineRule="auto"/>
        <w:jc w:val="both"/>
        <w:rPr>
          <w:rFonts w:ascii="Calibri" w:hAnsi="Calibri" w:cs="Calibri"/>
          <w:color w:val="000000" w:themeColor="text1"/>
        </w:rPr>
      </w:pPr>
      <w:r w:rsidRPr="00B707B4">
        <w:rPr>
          <w:rFonts w:ascii="Calibri" w:hAnsi="Calibri" w:cs="Calibri"/>
          <w:color w:val="000000" w:themeColor="text1"/>
        </w:rPr>
        <w:lastRenderedPageBreak/>
        <w:t>Key Words: PCR (Polymerase Chain Reaction), Comorbidities, Phylogenetic, Epidemiology</w:t>
      </w:r>
    </w:p>
    <w:p w14:paraId="1F0C06D4" w14:textId="77777777" w:rsidR="00B707B4" w:rsidRPr="00B707B4" w:rsidRDefault="00B707B4" w:rsidP="00B707B4">
      <w:pPr>
        <w:spacing w:line="264" w:lineRule="auto"/>
        <w:jc w:val="both"/>
        <w:rPr>
          <w:rFonts w:ascii="Calibri" w:hAnsi="Calibri" w:cs="Calibri"/>
          <w:color w:val="000000" w:themeColor="text1"/>
        </w:rPr>
      </w:pPr>
    </w:p>
    <w:p w14:paraId="2B6EBDF2" w14:textId="77777777" w:rsidR="00B707B4" w:rsidRPr="00D01277" w:rsidRDefault="00B707B4" w:rsidP="00B707B4">
      <w:pPr>
        <w:spacing w:line="264" w:lineRule="auto"/>
        <w:jc w:val="both"/>
        <w:rPr>
          <w:rFonts w:ascii="Calibri" w:hAnsi="Calibri" w:cs="Calibri"/>
          <w:b/>
          <w:bCs/>
          <w:color w:val="000000" w:themeColor="text1"/>
          <w:sz w:val="22"/>
          <w:szCs w:val="22"/>
        </w:rPr>
      </w:pPr>
      <w:r w:rsidRPr="00D01277">
        <w:rPr>
          <w:rFonts w:ascii="Calibri" w:hAnsi="Calibri" w:cs="Calibri"/>
          <w:b/>
          <w:bCs/>
          <w:color w:val="000000" w:themeColor="text1"/>
          <w:sz w:val="22"/>
          <w:szCs w:val="22"/>
        </w:rPr>
        <w:t>References</w:t>
      </w:r>
    </w:p>
    <w:p w14:paraId="5279B8F7" w14:textId="77777777" w:rsidR="00B707B4" w:rsidRPr="00D01277" w:rsidRDefault="00B707B4" w:rsidP="00B707B4">
      <w:pPr>
        <w:numPr>
          <w:ilvl w:val="0"/>
          <w:numId w:val="5"/>
        </w:numPr>
        <w:spacing w:line="264" w:lineRule="auto"/>
        <w:jc w:val="both"/>
        <w:rPr>
          <w:rFonts w:ascii="Calibri" w:hAnsi="Calibri" w:cs="Calibri"/>
          <w:color w:val="000000" w:themeColor="text1"/>
          <w:sz w:val="22"/>
          <w:szCs w:val="22"/>
        </w:rPr>
      </w:pPr>
      <w:r w:rsidRPr="00D01277">
        <w:rPr>
          <w:rFonts w:ascii="Calibri" w:hAnsi="Calibri" w:cs="Calibri"/>
          <w:color w:val="000000" w:themeColor="text1"/>
          <w:sz w:val="22"/>
          <w:szCs w:val="22"/>
        </w:rPr>
        <w:t>Rajput, M., M.S. Sajid, M. Imran, M.T. Javed and O.A. Sparagano. 2023. A participatory approach in assessing the knowledge, attitude, and practices (kap) of stakeholders and livestock owners about ticks and tick-borne diseases from Sindh, Pakistan. Pathogens. 12:800.</w:t>
      </w:r>
    </w:p>
    <w:p w14:paraId="22B9C395" w14:textId="77777777" w:rsidR="00B707B4" w:rsidRPr="00D01277" w:rsidRDefault="00B707B4" w:rsidP="00B707B4">
      <w:pPr>
        <w:numPr>
          <w:ilvl w:val="0"/>
          <w:numId w:val="5"/>
        </w:numPr>
        <w:spacing w:line="264" w:lineRule="auto"/>
        <w:jc w:val="both"/>
        <w:rPr>
          <w:rFonts w:ascii="Calibri" w:hAnsi="Calibri" w:cs="Calibri"/>
          <w:color w:val="000000" w:themeColor="text1"/>
          <w:sz w:val="22"/>
          <w:szCs w:val="22"/>
        </w:rPr>
      </w:pPr>
      <w:r w:rsidRPr="00D01277">
        <w:rPr>
          <w:rFonts w:ascii="Calibri" w:hAnsi="Calibri" w:cs="Calibri"/>
          <w:color w:val="000000" w:themeColor="text1"/>
          <w:sz w:val="22"/>
          <w:szCs w:val="22"/>
        </w:rPr>
        <w:t>Rochlin, I., A. Egizi, Z. Narvaez, D. L. Bonilla, M. Gallagher, G. M. Williams, and D. M. Fonseca. 2023. Microhabitat modeling of the invasive Asian longhorned tick (Haemaphysalis longicornis) in New Jersey, USA. Ticks Tick Borne Dis. 102126.</w:t>
      </w:r>
    </w:p>
    <w:p w14:paraId="140E4010" w14:textId="2AEFE6D9" w:rsidR="00B707B4" w:rsidRPr="00D01277" w:rsidRDefault="00B707B4" w:rsidP="00B707B4">
      <w:pPr>
        <w:numPr>
          <w:ilvl w:val="0"/>
          <w:numId w:val="5"/>
        </w:numPr>
        <w:spacing w:line="264" w:lineRule="auto"/>
        <w:jc w:val="both"/>
        <w:rPr>
          <w:rFonts w:ascii="Calibri" w:hAnsi="Calibri" w:cs="Calibri"/>
          <w:color w:val="000000" w:themeColor="text1"/>
          <w:sz w:val="22"/>
          <w:szCs w:val="22"/>
        </w:rPr>
      </w:pPr>
      <w:r w:rsidRPr="00D01277">
        <w:rPr>
          <w:rFonts w:ascii="Calibri" w:hAnsi="Calibri" w:cs="Calibri"/>
          <w:color w:val="000000" w:themeColor="text1"/>
          <w:sz w:val="22"/>
          <w:szCs w:val="22"/>
          <w:lang w:val="pt-PT"/>
        </w:rPr>
        <w:t xml:space="preserve">Rodrigues, A. C., M. B. de Castro, M. B. Labruna and M. P. J. Szabó. </w:t>
      </w:r>
      <w:r w:rsidRPr="00D01277">
        <w:rPr>
          <w:rFonts w:ascii="Calibri" w:hAnsi="Calibri" w:cs="Calibri"/>
          <w:color w:val="000000" w:themeColor="text1"/>
          <w:sz w:val="22"/>
          <w:szCs w:val="22"/>
        </w:rPr>
        <w:t>2023. The inoculation eschar of Rickettsia parkeri rickettsiosis in Brazil: importance and cautions. Ticks Tick Borne Dis. 102127.</w:t>
      </w:r>
    </w:p>
    <w:p w14:paraId="01BC6D60" w14:textId="77777777" w:rsidR="00B707B4" w:rsidRPr="00D01277" w:rsidRDefault="00B707B4" w:rsidP="00B707B4">
      <w:pPr>
        <w:spacing w:line="264" w:lineRule="auto"/>
        <w:jc w:val="both"/>
        <w:rPr>
          <w:rFonts w:ascii="Calibri" w:hAnsi="Calibri" w:cs="Calibri"/>
          <w:color w:val="000000" w:themeColor="text1"/>
          <w:sz w:val="22"/>
          <w:szCs w:val="22"/>
        </w:rPr>
      </w:pPr>
    </w:p>
    <w:p w14:paraId="34BC9AE5" w14:textId="77777777" w:rsidR="00B707B4" w:rsidRPr="00D01277" w:rsidRDefault="00B707B4" w:rsidP="00B707B4">
      <w:pPr>
        <w:spacing w:line="264" w:lineRule="auto"/>
        <w:jc w:val="both"/>
        <w:rPr>
          <w:rFonts w:ascii="Calibri" w:hAnsi="Calibri" w:cs="Calibri"/>
          <w:b/>
          <w:bCs/>
          <w:color w:val="000000" w:themeColor="text1"/>
          <w:sz w:val="22"/>
          <w:szCs w:val="22"/>
        </w:rPr>
      </w:pPr>
      <w:r w:rsidRPr="00D01277">
        <w:rPr>
          <w:rFonts w:ascii="Calibri" w:hAnsi="Calibri" w:cs="Calibri"/>
          <w:b/>
          <w:bCs/>
          <w:color w:val="000000" w:themeColor="text1"/>
          <w:sz w:val="22"/>
          <w:szCs w:val="22"/>
        </w:rPr>
        <w:t>Acknowledgment</w:t>
      </w:r>
    </w:p>
    <w:p w14:paraId="087ED765" w14:textId="3A8B9580" w:rsidR="00B707B4" w:rsidRPr="00D01277" w:rsidRDefault="00B707B4" w:rsidP="00B707B4">
      <w:pPr>
        <w:spacing w:line="264" w:lineRule="auto"/>
        <w:jc w:val="both"/>
        <w:rPr>
          <w:rFonts w:ascii="Calibri" w:hAnsi="Calibri" w:cs="Calibri"/>
          <w:color w:val="000000" w:themeColor="text1"/>
          <w:sz w:val="22"/>
          <w:szCs w:val="22"/>
        </w:rPr>
      </w:pPr>
      <w:r w:rsidRPr="00D01277">
        <w:rPr>
          <w:rFonts w:ascii="Calibri" w:hAnsi="Calibri" w:cs="Calibri"/>
          <w:color w:val="000000" w:themeColor="text1"/>
          <w:sz w:val="22"/>
          <w:szCs w:val="22"/>
        </w:rPr>
        <w:t>This research was funded by NHCG/2141 and 9041/Punjab/NRPU/R&amp;D/HEC/2017 projects under the titles of” Geospatial Distribution of Arthropods and Arthropod Borne Diseases of One Health Significance: Participatory Risk Assessment and Mitigation Strategies in Punjab,Pakistan” and : Molecular epidemiology concurrent detection and characterization of Babesia, Theileria, Anaplasma and Ehrlichia species from cattle, buffalo and Ixodid ticks”</w:t>
      </w:r>
    </w:p>
    <w:p w14:paraId="02E2948A" w14:textId="0519E94E" w:rsidR="0026527F" w:rsidRDefault="0026527F" w:rsidP="0026527F">
      <w:pPr>
        <w:spacing w:line="264" w:lineRule="auto"/>
        <w:jc w:val="center"/>
        <w:rPr>
          <w:rFonts w:ascii="Calibri" w:hAnsi="Calibri" w:cs="Calibri"/>
          <w:color w:val="000000" w:themeColor="text1"/>
          <w:lang w:val="en-GB"/>
        </w:rPr>
      </w:pPr>
    </w:p>
    <w:p w14:paraId="614BE3BA" w14:textId="376C416B" w:rsidR="0026527F" w:rsidRDefault="0026527F">
      <w:pPr>
        <w:rPr>
          <w:rFonts w:ascii="Calibri" w:hAnsi="Calibri" w:cs="Calibri"/>
          <w:color w:val="000000" w:themeColor="text1"/>
          <w:lang w:val="en-GB"/>
        </w:rPr>
      </w:pPr>
      <w:r>
        <w:rPr>
          <w:rFonts w:ascii="Calibri" w:hAnsi="Calibri" w:cs="Calibri"/>
          <w:color w:val="000000" w:themeColor="text1"/>
          <w:lang w:val="en-GB"/>
        </w:rPr>
        <w:br w:type="page"/>
      </w:r>
    </w:p>
    <w:p w14:paraId="4F168075" w14:textId="77777777" w:rsidR="0026527F" w:rsidRDefault="0026527F" w:rsidP="0026527F">
      <w:pPr>
        <w:spacing w:line="264" w:lineRule="auto"/>
        <w:jc w:val="center"/>
        <w:rPr>
          <w:rFonts w:ascii="Calibri" w:hAnsi="Calibri" w:cs="Calibri"/>
          <w:color w:val="000000" w:themeColor="text1"/>
          <w:lang w:val="en-GB"/>
        </w:rPr>
      </w:pPr>
    </w:p>
    <w:p w14:paraId="1D6B8A11" w14:textId="77777777" w:rsidR="0026527F" w:rsidRDefault="0026527F" w:rsidP="0026527F">
      <w:pPr>
        <w:spacing w:line="264" w:lineRule="auto"/>
        <w:jc w:val="center"/>
        <w:rPr>
          <w:rFonts w:ascii="Calibri" w:hAnsi="Calibri" w:cs="Calibri"/>
          <w:b/>
          <w:bCs/>
          <w:color w:val="2E74B5" w:themeColor="accent5" w:themeShade="BF"/>
          <w:lang w:val="en-GB"/>
        </w:rPr>
      </w:pPr>
      <w:r w:rsidRPr="0026527F">
        <w:rPr>
          <w:rFonts w:ascii="Calibri" w:hAnsi="Calibri" w:cs="Calibri"/>
          <w:b/>
          <w:bCs/>
          <w:color w:val="2E74B5" w:themeColor="accent5" w:themeShade="BF"/>
          <w:lang w:val="en-GB"/>
        </w:rPr>
        <w:t>Libraries of analogues of Eucalyptus G-endoperoxides, antiparasitic activities, mechanisms of action</w:t>
      </w:r>
    </w:p>
    <w:p w14:paraId="27BFB0D1" w14:textId="77777777" w:rsidR="0026527F" w:rsidRDefault="0026527F" w:rsidP="0026527F">
      <w:pPr>
        <w:spacing w:line="264" w:lineRule="auto"/>
        <w:jc w:val="center"/>
        <w:rPr>
          <w:rFonts w:ascii="Calibri" w:hAnsi="Calibri" w:cs="Calibri"/>
          <w:b/>
          <w:bCs/>
          <w:color w:val="2E74B5" w:themeColor="accent5" w:themeShade="BF"/>
          <w:lang w:val="en-GB"/>
        </w:rPr>
      </w:pPr>
    </w:p>
    <w:p w14:paraId="4ADB409E" w14:textId="7AF65A12" w:rsidR="00D117E4" w:rsidRPr="00CF0E0C" w:rsidRDefault="00D117E4" w:rsidP="00D117E4">
      <w:pPr>
        <w:spacing w:line="360" w:lineRule="auto"/>
        <w:jc w:val="center"/>
        <w:rPr>
          <w:rFonts w:ascii="Calibri" w:hAnsi="Calibri" w:cs="Calibri"/>
          <w:color w:val="000000" w:themeColor="text1"/>
          <w:lang w:val="pt-PT"/>
        </w:rPr>
      </w:pPr>
      <w:r w:rsidRPr="00CF0E0C">
        <w:rPr>
          <w:rFonts w:ascii="Calibri" w:hAnsi="Calibri" w:cs="Calibri"/>
          <w:color w:val="000000" w:themeColor="text1"/>
          <w:u w:val="single"/>
          <w:lang w:val="pt-PT"/>
        </w:rPr>
        <w:t xml:space="preserve">Graikioti Dafni </w:t>
      </w:r>
      <w:r w:rsidRPr="00CF0E0C">
        <w:rPr>
          <w:rFonts w:ascii="Calibri" w:hAnsi="Calibri" w:cs="Calibri"/>
          <w:color w:val="000000" w:themeColor="text1"/>
          <w:vertAlign w:val="superscript"/>
          <w:lang w:val="pt-PT"/>
        </w:rPr>
        <w:t>a, b</w:t>
      </w:r>
      <w:r w:rsidRPr="00CF0E0C">
        <w:rPr>
          <w:rFonts w:ascii="Calibri" w:hAnsi="Calibri" w:cs="Calibri"/>
          <w:color w:val="000000" w:themeColor="text1"/>
          <w:lang w:val="pt-PT"/>
        </w:rPr>
        <w:t xml:space="preserve">, Baltas Michel </w:t>
      </w:r>
      <w:r w:rsidRPr="00CF0E0C">
        <w:rPr>
          <w:rFonts w:ascii="Calibri" w:hAnsi="Calibri" w:cs="Calibri"/>
          <w:color w:val="000000" w:themeColor="text1"/>
          <w:vertAlign w:val="superscript"/>
          <w:lang w:val="pt-PT"/>
        </w:rPr>
        <w:t>b</w:t>
      </w:r>
      <w:r w:rsidRPr="00CF0E0C">
        <w:rPr>
          <w:rFonts w:ascii="Calibri" w:hAnsi="Calibri" w:cs="Calibri"/>
          <w:color w:val="000000" w:themeColor="text1"/>
          <w:lang w:val="pt-PT"/>
        </w:rPr>
        <w:t xml:space="preserve">, Athanassopoulos Constantinos </w:t>
      </w:r>
      <w:r w:rsidRPr="00CF0E0C">
        <w:rPr>
          <w:rFonts w:ascii="Calibri" w:hAnsi="Calibri" w:cs="Calibri"/>
          <w:color w:val="000000" w:themeColor="text1"/>
          <w:vertAlign w:val="superscript"/>
          <w:lang w:val="pt-PT"/>
        </w:rPr>
        <w:t>a</w:t>
      </w:r>
    </w:p>
    <w:p w14:paraId="584AC9EF" w14:textId="77777777" w:rsidR="00D117E4" w:rsidRPr="00D01277" w:rsidRDefault="00D117E4" w:rsidP="00D117E4">
      <w:pPr>
        <w:jc w:val="center"/>
        <w:rPr>
          <w:rFonts w:asciiTheme="minorHAnsi" w:hAnsiTheme="minorHAnsi" w:cstheme="minorHAnsi"/>
          <w:color w:val="000000"/>
          <w:sz w:val="22"/>
          <w:szCs w:val="22"/>
          <w:lang w:val="en-GB"/>
        </w:rPr>
      </w:pPr>
      <w:r w:rsidRPr="00D01277">
        <w:rPr>
          <w:rFonts w:asciiTheme="minorHAnsi" w:hAnsiTheme="minorHAnsi" w:cstheme="minorHAnsi"/>
          <w:color w:val="000000"/>
          <w:sz w:val="22"/>
          <w:szCs w:val="22"/>
          <w:vertAlign w:val="superscript"/>
          <w:lang w:val="en-GB"/>
        </w:rPr>
        <w:t xml:space="preserve">a </w:t>
      </w:r>
      <w:r w:rsidRPr="00D01277">
        <w:rPr>
          <w:rFonts w:asciiTheme="minorHAnsi" w:hAnsiTheme="minorHAnsi" w:cstheme="minorHAnsi"/>
          <w:color w:val="000000"/>
          <w:sz w:val="22"/>
          <w:szCs w:val="22"/>
          <w:lang w:val="en-GB"/>
        </w:rPr>
        <w:t xml:space="preserve">University of Patras, Greece; </w:t>
      </w:r>
      <w:r w:rsidRPr="00D01277">
        <w:rPr>
          <w:rFonts w:asciiTheme="minorHAnsi" w:hAnsiTheme="minorHAnsi" w:cstheme="minorHAnsi"/>
          <w:color w:val="000000"/>
          <w:sz w:val="22"/>
          <w:szCs w:val="22"/>
          <w:vertAlign w:val="superscript"/>
          <w:lang w:val="en-GB"/>
        </w:rPr>
        <w:t xml:space="preserve">b </w:t>
      </w:r>
      <w:r w:rsidRPr="00D01277">
        <w:rPr>
          <w:rFonts w:asciiTheme="minorHAnsi" w:hAnsiTheme="minorHAnsi" w:cstheme="minorHAnsi"/>
          <w:color w:val="000000" w:themeColor="text1"/>
          <w:sz w:val="22"/>
          <w:szCs w:val="22"/>
          <w:lang w:val="fr-FR"/>
        </w:rPr>
        <w:t>Laboratoire de Chimie de Coordination du CNRS</w:t>
      </w:r>
      <w:r w:rsidRPr="00D01277">
        <w:rPr>
          <w:rFonts w:asciiTheme="minorHAnsi" w:hAnsiTheme="minorHAnsi" w:cstheme="minorHAnsi"/>
          <w:color w:val="000000"/>
          <w:sz w:val="22"/>
          <w:szCs w:val="22"/>
          <w:lang w:val="en-GB"/>
        </w:rPr>
        <w:t>, Toulouse, France</w:t>
      </w:r>
    </w:p>
    <w:p w14:paraId="4831BC2D" w14:textId="77777777" w:rsidR="00D117E4" w:rsidRDefault="00000000" w:rsidP="00D117E4">
      <w:pPr>
        <w:jc w:val="center"/>
        <w:rPr>
          <w:rFonts w:ascii="Calibri" w:hAnsi="Calibri" w:cs="Calibri"/>
          <w:color w:val="000000"/>
          <w:sz w:val="22"/>
          <w:szCs w:val="22"/>
        </w:rPr>
      </w:pPr>
      <w:hyperlink r:id="rId39" w:history="1">
        <w:r w:rsidR="00D117E4" w:rsidRPr="00D01277">
          <w:rPr>
            <w:rStyle w:val="Hyperlink"/>
            <w:rFonts w:asciiTheme="minorHAnsi" w:eastAsia="Bahnschrift" w:hAnsiTheme="minorHAnsi" w:cstheme="minorHAnsi"/>
            <w:sz w:val="22"/>
            <w:szCs w:val="22"/>
          </w:rPr>
          <w:t>dafnigraikioti@upnet.gr</w:t>
        </w:r>
      </w:hyperlink>
      <w:r w:rsidR="00D117E4">
        <w:rPr>
          <w:rFonts w:ascii="Calibri" w:hAnsi="Calibri" w:cs="Calibri"/>
          <w:color w:val="000000"/>
          <w:sz w:val="22"/>
          <w:szCs w:val="22"/>
        </w:rPr>
        <w:t xml:space="preserve"> </w:t>
      </w:r>
    </w:p>
    <w:p w14:paraId="370CE8D5" w14:textId="77777777" w:rsidR="00D117E4" w:rsidRPr="00B002F8" w:rsidRDefault="00D117E4" w:rsidP="00D117E4">
      <w:pPr>
        <w:jc w:val="center"/>
        <w:rPr>
          <w:rFonts w:ascii="Calibri" w:hAnsi="Calibri" w:cs="Calibri"/>
        </w:rPr>
      </w:pPr>
    </w:p>
    <w:p w14:paraId="054D0F18" w14:textId="77777777" w:rsidR="00D117E4" w:rsidRPr="00D01277" w:rsidRDefault="00D117E4" w:rsidP="00D117E4">
      <w:pPr>
        <w:jc w:val="both"/>
        <w:rPr>
          <w:rFonts w:ascii="Calibri" w:hAnsi="Calibri" w:cs="Calibri"/>
        </w:rPr>
      </w:pPr>
      <w:r w:rsidRPr="00D01277">
        <w:rPr>
          <w:rFonts w:ascii="Calibri" w:hAnsi="Calibri" w:cs="Calibri"/>
        </w:rPr>
        <w:t xml:space="preserve">Malaria remains a major world health problem owing to the spread of </w:t>
      </w:r>
      <w:r w:rsidRPr="00D01277">
        <w:rPr>
          <w:rFonts w:ascii="Calibri" w:hAnsi="Calibri" w:cs="Calibri"/>
          <w:i/>
          <w:iCs/>
        </w:rPr>
        <w:t>P. falciparum</w:t>
      </w:r>
      <w:r w:rsidRPr="00D01277">
        <w:rPr>
          <w:rFonts w:ascii="Calibri" w:hAnsi="Calibri" w:cs="Calibri"/>
        </w:rPr>
        <w:t xml:space="preserve">, the most dangerous of the </w:t>
      </w:r>
      <w:r w:rsidRPr="00D01277">
        <w:rPr>
          <w:rFonts w:ascii="Calibri" w:hAnsi="Calibri" w:cs="Calibri"/>
          <w:i/>
          <w:iCs/>
        </w:rPr>
        <w:t>Plasmodium</w:t>
      </w:r>
      <w:r w:rsidRPr="00D01277">
        <w:rPr>
          <w:rFonts w:ascii="Calibri" w:hAnsi="Calibri" w:cs="Calibri"/>
        </w:rPr>
        <w:t xml:space="preserve"> parasites, that is resistant to the most antimalarial drugs. It affects approximately 200 million humans every year, causing almost half a million deaths among infected individuals, according to WHO (World Health Organization).</w:t>
      </w:r>
    </w:p>
    <w:p w14:paraId="7848CBC8" w14:textId="77777777" w:rsidR="00D117E4" w:rsidRDefault="00D117E4" w:rsidP="00D117E4">
      <w:pPr>
        <w:jc w:val="both"/>
        <w:rPr>
          <w:rFonts w:ascii="Calibri" w:hAnsi="Calibri" w:cs="Calibri"/>
          <w:sz w:val="22"/>
          <w:szCs w:val="22"/>
        </w:rPr>
      </w:pPr>
      <w:r w:rsidRPr="00CB7A0B">
        <w:rPr>
          <w:rFonts w:ascii="Calibri" w:hAnsi="Calibri" w:cs="Calibri"/>
          <w:noProof/>
          <w:sz w:val="22"/>
          <w:szCs w:val="22"/>
        </w:rPr>
        <w:drawing>
          <wp:inline distT="0" distB="0" distL="0" distR="0" wp14:anchorId="08A8B664" wp14:editId="4B69CC28">
            <wp:extent cx="5395595" cy="1717040"/>
            <wp:effectExtent l="0" t="0" r="190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95595" cy="1717040"/>
                    </a:xfrm>
                    <a:prstGeom prst="rect">
                      <a:avLst/>
                    </a:prstGeom>
                  </pic:spPr>
                </pic:pic>
              </a:graphicData>
            </a:graphic>
          </wp:inline>
        </w:drawing>
      </w:r>
    </w:p>
    <w:p w14:paraId="1BBE9D1D" w14:textId="77777777" w:rsidR="00D117E4" w:rsidRPr="00D01277" w:rsidRDefault="00D117E4" w:rsidP="00D117E4">
      <w:pPr>
        <w:jc w:val="center"/>
        <w:rPr>
          <w:rFonts w:ascii="Calibri" w:hAnsi="Calibri" w:cs="Calibri"/>
          <w:b/>
          <w:bCs/>
          <w:sz w:val="22"/>
          <w:szCs w:val="22"/>
        </w:rPr>
      </w:pPr>
      <w:r w:rsidRPr="00D01277">
        <w:rPr>
          <w:rFonts w:ascii="Calibri" w:hAnsi="Calibri" w:cs="Calibri"/>
          <w:b/>
          <w:bCs/>
          <w:sz w:val="22"/>
          <w:szCs w:val="22"/>
        </w:rPr>
        <w:t>Figure 1</w:t>
      </w:r>
    </w:p>
    <w:p w14:paraId="7A9E12C3" w14:textId="77777777" w:rsidR="00D117E4" w:rsidRPr="00D01277" w:rsidRDefault="00D117E4" w:rsidP="00D117E4">
      <w:pPr>
        <w:spacing w:before="240"/>
        <w:jc w:val="both"/>
        <w:rPr>
          <w:rFonts w:asciiTheme="minorHAnsi" w:eastAsia="MS Mincho" w:hAnsiTheme="minorHAnsi" w:cstheme="minorHAnsi"/>
          <w:iCs/>
          <w:color w:val="000000"/>
          <w:szCs w:val="28"/>
          <w:lang w:val="en-GB" w:eastAsia="ja-JP"/>
        </w:rPr>
      </w:pPr>
      <w:r w:rsidRPr="00D01277">
        <w:rPr>
          <w:rFonts w:ascii="Calibri" w:hAnsi="Calibri" w:cs="Calibri"/>
        </w:rPr>
        <w:t>For many years now, we have been interested in the naturally occurring phytormones known as G- factors (</w:t>
      </w:r>
      <w:r w:rsidRPr="00D01277">
        <w:rPr>
          <w:rFonts w:ascii="Calibri" w:hAnsi="Calibri" w:cs="Calibri"/>
          <w:b/>
          <w:bCs/>
        </w:rPr>
        <w:t>G1</w:t>
      </w:r>
      <w:r w:rsidRPr="00D01277">
        <w:rPr>
          <w:rFonts w:ascii="Calibri" w:hAnsi="Calibri" w:cs="Calibri"/>
        </w:rPr>
        <w:t>, </w:t>
      </w:r>
      <w:r w:rsidRPr="00D01277">
        <w:rPr>
          <w:rFonts w:ascii="Calibri" w:hAnsi="Calibri" w:cs="Calibri"/>
          <w:b/>
          <w:bCs/>
        </w:rPr>
        <w:t>G2</w:t>
      </w:r>
      <w:r w:rsidRPr="00D01277">
        <w:rPr>
          <w:rFonts w:ascii="Calibri" w:hAnsi="Calibri" w:cs="Calibri"/>
        </w:rPr>
        <w:t>, </w:t>
      </w:r>
      <w:r w:rsidRPr="00D01277">
        <w:rPr>
          <w:rFonts w:ascii="Calibri" w:hAnsi="Calibri" w:cs="Calibri"/>
          <w:b/>
          <w:bCs/>
        </w:rPr>
        <w:t>G3</w:t>
      </w:r>
      <w:r w:rsidRPr="00D01277">
        <w:rPr>
          <w:rFonts w:ascii="Calibri" w:hAnsi="Calibri" w:cs="Calibri"/>
        </w:rPr>
        <w:t>) synthesized from syncarpic acid and incorporating an endocyclic endoperoxide frame. Among them, the methylated compound G3Me and its derivatives have been shown to be potent antimalarial agents</w:t>
      </w:r>
      <w:r w:rsidRPr="00D01277">
        <w:rPr>
          <w:rFonts w:ascii="Calibri" w:hAnsi="Calibri" w:cs="Calibri"/>
        </w:rPr>
        <w:fldChar w:fldCharType="begin"/>
      </w:r>
      <w:r w:rsidRPr="00D01277">
        <w:rPr>
          <w:rFonts w:ascii="Calibri" w:hAnsi="Calibri" w:cs="Calibri"/>
        </w:rPr>
        <w:instrText xml:space="preserve"> ADDIN EN.CITE &lt;EndNote&gt;&lt;Cite&gt;&lt;Author&gt;Pepe&lt;/Author&gt;&lt;Year&gt;2020&lt;/Year&gt;&lt;RecNum&gt;171&lt;/RecNum&gt;&lt;DisplayText&gt;[1]&lt;/DisplayText&gt;&lt;record&gt;&lt;rec-number&gt;171&lt;/rec-number&gt;&lt;foreign-keys&gt;&lt;key app="EN" db-id="afts2tppc2dx21ed99rv9f01p59zvew5rsdt" timestamp="1732193530"&gt;171&lt;/key&gt;&lt;/foreign-keys&gt;&lt;ref-type name="Journal Article"&gt;17&lt;/ref-type&gt;&lt;contributors&gt;&lt;authors&gt;&lt;author&gt;Pepe, D. A.&lt;/author&gt;&lt;author&gt;Toumpa, D.&lt;/author&gt;&lt;author&gt;André-Barrès, C.&lt;/author&gt;&lt;author&gt;Menendez, C.&lt;/author&gt;&lt;author&gt;Mouray, E.&lt;/author&gt;&lt;author&gt;Baltas, M.&lt;/author&gt;&lt;author&gt;Grellier, P.&lt;/author&gt;&lt;author&gt;Papaioannou, D.&lt;/author&gt;&lt;author&gt;Athanassopoulos, C. M.&lt;/author&gt;&lt;/authors&gt;&lt;/contributors&gt;&lt;auth-address&gt;Synthetic Organic Chemistry Laboratory, Department of Chemistry, University of Patras, Patras GR-26504, Greece.&amp;#xD;LSPCMIB, UMR-CNRS 5068, Université Paul Sabatier-Toulouse III, 118 route de Narbonne, Toulouse CEDEX 9 31062, France.&amp;#xD;MCAM, UMR 7245 CNRS, Muséum National d&amp;apos;Histoire Naturelle, CNRS, CP52, 57 rue Cuvier, Paris 75005, France.&lt;/auth-address&gt;&lt;titles&gt;&lt;title&gt;Synthesis of Novel G Factor or Chloroquine-Artemisinin Hybrids and Conjugates with Potent Antiplasmodial Activity&lt;/title&gt;&lt;secondary-title&gt;ACS Med Chem Lett&lt;/secondary-title&gt;&lt;/titles&gt;&lt;periodical&gt;&lt;full-title&gt;ACS Med Chem Lett&lt;/full-title&gt;&lt;/periodical&gt;&lt;pages&gt;921-927&lt;/pages&gt;&lt;volume&gt;11&lt;/volume&gt;&lt;number&gt;5&lt;/number&gt;&lt;edition&gt;20200324&lt;/edition&gt;&lt;dates&gt;&lt;year&gt;2020&lt;/year&gt;&lt;pub-dates&gt;&lt;date&gt;May 14&lt;/date&gt;&lt;/pub-dates&gt;&lt;/dates&gt;&lt;isbn&gt;1948-5875 (Print)&amp;#xD;1948-5875&lt;/isbn&gt;&lt;accession-num&gt;32435406&lt;/accession-num&gt;&lt;urls&gt;&lt;/urls&gt;&lt;custom1&gt;The authors declare no competing financial interest.&lt;/custom1&gt;&lt;custom2&gt;PMC7236259&lt;/custom2&gt;&lt;electronic-resource-num&gt;10.1021/acsmedchemlett.9b00669&lt;/electronic-resource-num&gt;&lt;remote-database-provider&gt;NLM&lt;/remote-database-provider&gt;&lt;language&gt;eng&lt;/language&gt;&lt;/record&gt;&lt;/Cite&gt;&lt;/EndNote&gt;</w:instrText>
      </w:r>
      <w:r w:rsidRPr="00D01277">
        <w:rPr>
          <w:rFonts w:ascii="Calibri" w:hAnsi="Calibri" w:cs="Calibri"/>
        </w:rPr>
        <w:fldChar w:fldCharType="separate"/>
      </w:r>
      <w:r w:rsidRPr="00D01277">
        <w:rPr>
          <w:rFonts w:ascii="Calibri" w:hAnsi="Calibri" w:cs="Calibri"/>
          <w:noProof/>
        </w:rPr>
        <w:t>[1]</w:t>
      </w:r>
      <w:r w:rsidRPr="00D01277">
        <w:rPr>
          <w:rFonts w:ascii="Calibri" w:hAnsi="Calibri" w:cs="Calibri"/>
        </w:rPr>
        <w:fldChar w:fldCharType="end"/>
      </w:r>
      <w:r w:rsidRPr="00D01277">
        <w:rPr>
          <w:rFonts w:ascii="Calibri" w:hAnsi="Calibri" w:cs="Calibri"/>
        </w:rPr>
        <w:t>. In addition, other O-alkylated peroxyhemiketalic endoperoxide derivatives show good antimalarial activity</w:t>
      </w:r>
      <w:r w:rsidRPr="00D01277">
        <w:rPr>
          <w:rFonts w:ascii="Calibri" w:hAnsi="Calibri" w:cs="Calibri"/>
        </w:rPr>
        <w:fldChar w:fldCharType="begin"/>
      </w:r>
      <w:r w:rsidRPr="00D01277">
        <w:rPr>
          <w:rFonts w:ascii="Calibri" w:hAnsi="Calibri" w:cs="Calibri"/>
        </w:rPr>
        <w:instrText xml:space="preserve"> ADDIN EN.CITE &lt;EndNote&gt;&lt;Cite&gt;&lt;Author&gt;Najjar&lt;/Author&gt;&lt;Year&gt;2005&lt;/Year&gt;&lt;RecNum&gt;172&lt;/RecNum&gt;&lt;DisplayText&gt;[2]&lt;/DisplayText&gt;&lt;record&gt;&lt;rec-number&gt;172&lt;/rec-number&gt;&lt;foreign-keys&gt;&lt;key app="EN" db-id="afts2tppc2dx21ed99rv9f01p59zvew5rsdt" timestamp="1732194709"&gt;172&lt;/key&gt;&lt;/foreign-keys&gt;&lt;ref-type name="Journal Article"&gt;17&lt;/ref-type&gt;&lt;contributors&gt;&lt;authors&gt;&lt;author&gt;Najjar, Fadia&lt;/author&gt;&lt;author&gt;Gorrichon, Liliane&lt;/author&gt;&lt;author&gt;Baltas, Michel&lt;/author&gt;&lt;author&gt;André-Barrès, Christiane&lt;/author&gt;&lt;author&gt;Vial, Henri&lt;/author&gt;&lt;/authors&gt;&lt;/contributors&gt;&lt;titles&gt;&lt;title&gt;Alkylation of natural endoperoxide G3-factor. Synthesis and antimalarial activity studies&lt;/title&gt;&lt;secondary-title&gt;Organic &amp;amp; Biomolecular Chemistry&lt;/secondary-title&gt;&lt;/titles&gt;&lt;periodical&gt;&lt;full-title&gt;Organic &amp;amp; Biomolecular Chemistry&lt;/full-title&gt;&lt;/periodical&gt;&lt;pages&gt;1612-1614&lt;/pages&gt;&lt;volume&gt;3&lt;/volume&gt;&lt;number&gt;9&lt;/number&gt;&lt;dates&gt;&lt;year&gt;2005&lt;/year&gt;&lt;/dates&gt;&lt;publisher&gt;The Royal Society of Chemistry&lt;/publisher&gt;&lt;isbn&gt;1477-0520&lt;/isbn&gt;&lt;work-type&gt;10.1039/B503402G&lt;/work-type&gt;&lt;urls&gt;&lt;related-urls&gt;&lt;url&gt;http://dx.doi.org/10.1039/B503402G&lt;/url&gt;&lt;/related-urls&gt;&lt;/urls&gt;&lt;electronic-resource-num&gt;10.1039/B503402G&lt;/electronic-resource-num&gt;&lt;/record&gt;&lt;/Cite&gt;&lt;/EndNote&gt;</w:instrText>
      </w:r>
      <w:r w:rsidRPr="00D01277">
        <w:rPr>
          <w:rFonts w:ascii="Calibri" w:hAnsi="Calibri" w:cs="Calibri"/>
        </w:rPr>
        <w:fldChar w:fldCharType="separate"/>
      </w:r>
      <w:r w:rsidRPr="00D01277">
        <w:rPr>
          <w:rFonts w:ascii="Calibri" w:hAnsi="Calibri" w:cs="Calibri"/>
          <w:noProof/>
        </w:rPr>
        <w:t>[2]</w:t>
      </w:r>
      <w:r w:rsidRPr="00D01277">
        <w:rPr>
          <w:rFonts w:ascii="Calibri" w:hAnsi="Calibri" w:cs="Calibri"/>
        </w:rPr>
        <w:fldChar w:fldCharType="end"/>
      </w:r>
      <w:r w:rsidRPr="00D01277">
        <w:rPr>
          <w:rFonts w:ascii="Calibri" w:hAnsi="Calibri" w:cs="Calibri"/>
        </w:rPr>
        <w:t xml:space="preserve">. Therefore, we decided to incorporate </w:t>
      </w:r>
      <w:r w:rsidRPr="00D01277">
        <w:rPr>
          <w:rFonts w:asciiTheme="minorHAnsi" w:eastAsia="MS Mincho" w:hAnsiTheme="minorHAnsi" w:cstheme="minorHAnsi"/>
          <w:iCs/>
          <w:color w:val="000000"/>
          <w:szCs w:val="28"/>
          <w:lang w:eastAsia="ja-JP"/>
        </w:rPr>
        <w:t xml:space="preserve">alkyne and azide probes </w:t>
      </w:r>
      <w:r w:rsidRPr="00D01277">
        <w:rPr>
          <w:rFonts w:ascii="Calibri" w:hAnsi="Calibri" w:cs="Calibri"/>
        </w:rPr>
        <w:t xml:space="preserve">into the </w:t>
      </w:r>
      <w:r w:rsidRPr="00D01277">
        <w:rPr>
          <w:rFonts w:ascii="Calibri" w:hAnsi="Calibri" w:cs="Calibri"/>
          <w:b/>
          <w:bCs/>
        </w:rPr>
        <w:t xml:space="preserve">R </w:t>
      </w:r>
      <w:r w:rsidRPr="00D01277">
        <w:rPr>
          <w:rFonts w:ascii="Calibri" w:hAnsi="Calibri" w:cs="Calibri"/>
        </w:rPr>
        <w:t>position</w:t>
      </w:r>
      <w:r w:rsidRPr="00D01277">
        <w:rPr>
          <w:rFonts w:asciiTheme="minorHAnsi" w:eastAsia="MS Mincho" w:hAnsiTheme="minorHAnsi" w:cstheme="minorHAnsi"/>
          <w:iCs/>
          <w:color w:val="000000"/>
          <w:szCs w:val="28"/>
          <w:lang w:eastAsia="ja-JP"/>
        </w:rPr>
        <w:t xml:space="preserve">.  </w:t>
      </w:r>
      <w:r w:rsidRPr="00D01277">
        <w:rPr>
          <w:rFonts w:asciiTheme="minorHAnsi" w:eastAsia="MS Mincho" w:hAnsiTheme="minorHAnsi" w:cstheme="minorHAnsi"/>
          <w:iCs/>
          <w:color w:val="000000"/>
          <w:szCs w:val="28"/>
          <w:lang w:val="en-GB" w:eastAsia="ja-JP"/>
        </w:rPr>
        <w:t xml:space="preserve">This could still provide active compounds but in addition these functional groups could be used for click modifications: i) by incorporating another pharmacophore or ii) by applying to chemoproteomics studies. </w:t>
      </w:r>
    </w:p>
    <w:p w14:paraId="1D42A9A5" w14:textId="77777777" w:rsidR="00D117E4" w:rsidRPr="00D01277" w:rsidRDefault="00D117E4" w:rsidP="00D117E4">
      <w:pPr>
        <w:jc w:val="both"/>
        <w:rPr>
          <w:rFonts w:asciiTheme="minorHAnsi" w:hAnsiTheme="minorHAnsi" w:cstheme="minorHAnsi"/>
        </w:rPr>
      </w:pPr>
      <w:r w:rsidRPr="00D01277">
        <w:rPr>
          <w:rFonts w:asciiTheme="minorHAnsi" w:eastAsia="MS Mincho" w:hAnsiTheme="minorHAnsi" w:cstheme="minorHAnsi"/>
          <w:iCs/>
          <w:color w:val="000000"/>
          <w:szCs w:val="28"/>
          <w:lang w:val="en-GB" w:eastAsia="ja-JP"/>
        </w:rPr>
        <w:t xml:space="preserve">So, we </w:t>
      </w:r>
      <w:r w:rsidRPr="00D01277">
        <w:rPr>
          <w:rFonts w:ascii="Calibri" w:hAnsi="Calibri" w:cs="Calibri"/>
        </w:rPr>
        <w:t xml:space="preserve">report here the synthesis of nine key-compounds, </w:t>
      </w:r>
      <w:r w:rsidRPr="00D01277">
        <w:rPr>
          <w:rFonts w:asciiTheme="minorHAnsi" w:hAnsiTheme="minorHAnsi" w:cstheme="minorHAnsi"/>
        </w:rPr>
        <w:t>appropriate for the study of the O- alkylation.</w:t>
      </w:r>
    </w:p>
    <w:p w14:paraId="2172DA83" w14:textId="77777777" w:rsidR="00D117E4" w:rsidRPr="00D01277" w:rsidRDefault="00D117E4" w:rsidP="00D117E4">
      <w:pPr>
        <w:rPr>
          <w:rFonts w:ascii="Calibri" w:hAnsi="Calibri" w:cs="Calibri"/>
          <w:spacing w:val="2"/>
          <w:shd w:val="clear" w:color="auto" w:fill="FFFFFF"/>
        </w:rPr>
      </w:pPr>
    </w:p>
    <w:p w14:paraId="4E359693" w14:textId="77777777" w:rsidR="00D117E4" w:rsidRDefault="00D117E4" w:rsidP="00D117E4">
      <w:pPr>
        <w:rPr>
          <w:rFonts w:ascii="Calibri" w:hAnsi="Calibri" w:cs="Calibri"/>
          <w:b/>
          <w:bCs/>
          <w:spacing w:val="2"/>
          <w:sz w:val="22"/>
          <w:szCs w:val="22"/>
          <w:shd w:val="clear" w:color="auto" w:fill="FFFFFF"/>
        </w:rPr>
      </w:pPr>
      <w:r>
        <w:rPr>
          <w:rFonts w:ascii="Calibri" w:hAnsi="Calibri" w:cs="Calibri"/>
          <w:b/>
          <w:bCs/>
          <w:spacing w:val="2"/>
          <w:sz w:val="22"/>
          <w:szCs w:val="22"/>
          <w:shd w:val="clear" w:color="auto" w:fill="FFFFFF"/>
        </w:rPr>
        <w:t>Acknowledgment</w:t>
      </w:r>
    </w:p>
    <w:p w14:paraId="78DE6E13" w14:textId="77777777" w:rsidR="00D117E4" w:rsidRPr="00084BDE" w:rsidRDefault="00D117E4" w:rsidP="00D117E4">
      <w:pPr>
        <w:rPr>
          <w:rFonts w:ascii="Calibri" w:hAnsi="Calibri" w:cs="Calibri"/>
          <w:sz w:val="22"/>
          <w:szCs w:val="22"/>
        </w:rPr>
      </w:pPr>
      <w:r w:rsidRPr="00084BDE">
        <w:rPr>
          <w:rFonts w:ascii="Calibri" w:hAnsi="Calibri" w:cs="Calibri"/>
          <w:spacing w:val="2"/>
          <w:sz w:val="22"/>
          <w:szCs w:val="22"/>
          <w:shd w:val="clear" w:color="auto" w:fill="FFFFFF"/>
        </w:rPr>
        <w:t xml:space="preserve">The Authors acknowledge the COST ACTION 21111 and </w:t>
      </w:r>
      <w:r w:rsidRPr="00084BDE">
        <w:rPr>
          <w:rFonts w:ascii="Calibri" w:hAnsi="Calibri" w:cs="Calibri"/>
          <w:spacing w:val="2"/>
          <w:sz w:val="22"/>
          <w:szCs w:val="22"/>
          <w:shd w:val="clear" w:color="auto" w:fill="FFFFFF"/>
          <w:lang w:val="fr-FR"/>
        </w:rPr>
        <w:t>Laboratoire de Chimie de Coordination du CNRS</w:t>
      </w:r>
      <w:r>
        <w:rPr>
          <w:rFonts w:ascii="Calibri" w:hAnsi="Calibri" w:cs="Calibri"/>
          <w:spacing w:val="2"/>
          <w:sz w:val="22"/>
          <w:szCs w:val="22"/>
          <w:shd w:val="clear" w:color="auto" w:fill="FFFFFF"/>
          <w:lang w:val="fr-FR"/>
        </w:rPr>
        <w:t xml:space="preserve">, </w:t>
      </w:r>
      <w:r w:rsidRPr="00084BDE">
        <w:rPr>
          <w:rFonts w:ascii="Calibri" w:hAnsi="Calibri" w:cs="Calibri"/>
          <w:sz w:val="22"/>
          <w:szCs w:val="22"/>
        </w:rPr>
        <w:t>for the financial support.</w:t>
      </w:r>
    </w:p>
    <w:p w14:paraId="0831C598" w14:textId="77777777" w:rsidR="00D117E4" w:rsidRDefault="00D117E4" w:rsidP="00D117E4">
      <w:pPr>
        <w:rPr>
          <w:rFonts w:ascii="Calibri" w:hAnsi="Calibri" w:cs="Calibri"/>
          <w:sz w:val="22"/>
          <w:szCs w:val="22"/>
        </w:rPr>
      </w:pPr>
    </w:p>
    <w:p w14:paraId="620D8FF5" w14:textId="064C482D" w:rsidR="00D117E4" w:rsidRPr="00D117E4" w:rsidRDefault="00D117E4" w:rsidP="00D117E4">
      <w:pPr>
        <w:rPr>
          <w:rFonts w:ascii="Calibri" w:hAnsi="Calibri" w:cs="Calibri"/>
          <w:b/>
          <w:bCs/>
          <w:sz w:val="22"/>
          <w:szCs w:val="22"/>
        </w:rPr>
      </w:pPr>
      <w:r>
        <w:rPr>
          <w:rFonts w:ascii="Calibri" w:hAnsi="Calibri" w:cs="Calibri"/>
          <w:b/>
          <w:bCs/>
          <w:sz w:val="22"/>
          <w:szCs w:val="22"/>
        </w:rPr>
        <w:t>References</w:t>
      </w:r>
    </w:p>
    <w:p w14:paraId="3D589560" w14:textId="77777777" w:rsidR="00D117E4" w:rsidRPr="00D117E4" w:rsidRDefault="00D117E4" w:rsidP="00D117E4">
      <w:pPr>
        <w:pStyle w:val="EndNoteBibliography"/>
        <w:ind w:left="720" w:hanging="720"/>
        <w:jc w:val="both"/>
        <w:rPr>
          <w:rFonts w:asciiTheme="minorHAnsi" w:hAnsiTheme="minorHAnsi" w:cstheme="minorHAnsi"/>
          <w:noProof/>
          <w:sz w:val="22"/>
          <w:szCs w:val="22"/>
        </w:rPr>
      </w:pPr>
      <w:r w:rsidRPr="00D117E4">
        <w:rPr>
          <w:rFonts w:asciiTheme="minorHAnsi" w:hAnsiTheme="minorHAnsi" w:cstheme="minorHAnsi"/>
          <w:sz w:val="22"/>
          <w:szCs w:val="22"/>
        </w:rPr>
        <w:fldChar w:fldCharType="begin"/>
      </w:r>
      <w:r w:rsidRPr="00D117E4">
        <w:rPr>
          <w:rFonts w:asciiTheme="minorHAnsi" w:hAnsiTheme="minorHAnsi" w:cstheme="minorHAnsi"/>
          <w:sz w:val="22"/>
          <w:szCs w:val="22"/>
        </w:rPr>
        <w:instrText xml:space="preserve"> ADDIN EN.REFLIST </w:instrText>
      </w:r>
      <w:r w:rsidRPr="00D117E4">
        <w:rPr>
          <w:rFonts w:asciiTheme="minorHAnsi" w:hAnsiTheme="minorHAnsi" w:cstheme="minorHAnsi"/>
          <w:sz w:val="22"/>
          <w:szCs w:val="22"/>
        </w:rPr>
        <w:fldChar w:fldCharType="separate"/>
      </w:r>
      <w:r w:rsidRPr="00D117E4">
        <w:rPr>
          <w:rFonts w:asciiTheme="minorHAnsi" w:hAnsiTheme="minorHAnsi" w:cstheme="minorHAnsi"/>
          <w:noProof/>
          <w:sz w:val="22"/>
          <w:szCs w:val="22"/>
        </w:rPr>
        <w:t>1.</w:t>
      </w:r>
      <w:r w:rsidRPr="00D117E4">
        <w:rPr>
          <w:rFonts w:asciiTheme="minorHAnsi" w:hAnsiTheme="minorHAnsi" w:cstheme="minorHAnsi"/>
          <w:noProof/>
          <w:sz w:val="22"/>
          <w:szCs w:val="22"/>
        </w:rPr>
        <w:tab/>
        <w:t xml:space="preserve">Pepe, D. A.; Toumpa, D.; André-Barrès, C.; Menendez, C.; Mouray, E.; Baltas, M.; Grellier, P.; Papaioannou, D.; Athanassopoulos, C. M., Synthesis of Novel G Factor or Chloroquine-Artemisinin Hybrids and Conjugates with Potent Antiplasmodial Activity. </w:t>
      </w:r>
      <w:r w:rsidRPr="00D117E4">
        <w:rPr>
          <w:rFonts w:asciiTheme="minorHAnsi" w:hAnsiTheme="minorHAnsi" w:cstheme="minorHAnsi"/>
          <w:i/>
          <w:noProof/>
          <w:sz w:val="22"/>
          <w:szCs w:val="22"/>
        </w:rPr>
        <w:t xml:space="preserve">ACS Med Chem Lett </w:t>
      </w:r>
      <w:r w:rsidRPr="00D117E4">
        <w:rPr>
          <w:rFonts w:asciiTheme="minorHAnsi" w:hAnsiTheme="minorHAnsi" w:cstheme="minorHAnsi"/>
          <w:b/>
          <w:noProof/>
          <w:sz w:val="22"/>
          <w:szCs w:val="22"/>
        </w:rPr>
        <w:t>2020,</w:t>
      </w:r>
      <w:r w:rsidRPr="00D117E4">
        <w:rPr>
          <w:rFonts w:asciiTheme="minorHAnsi" w:hAnsiTheme="minorHAnsi" w:cstheme="minorHAnsi"/>
          <w:noProof/>
          <w:sz w:val="22"/>
          <w:szCs w:val="22"/>
        </w:rPr>
        <w:t xml:space="preserve"> 11, (5), 921-927.</w:t>
      </w:r>
    </w:p>
    <w:p w14:paraId="0A6768E2" w14:textId="77777777" w:rsidR="00D117E4" w:rsidRPr="00D117E4" w:rsidRDefault="00D117E4" w:rsidP="00D117E4">
      <w:pPr>
        <w:pStyle w:val="EndNoteBibliography"/>
        <w:ind w:left="720" w:hanging="720"/>
        <w:jc w:val="both"/>
        <w:rPr>
          <w:rFonts w:asciiTheme="minorHAnsi" w:hAnsiTheme="minorHAnsi" w:cstheme="minorHAnsi"/>
          <w:noProof/>
          <w:sz w:val="22"/>
          <w:szCs w:val="22"/>
        </w:rPr>
      </w:pPr>
      <w:r w:rsidRPr="00D117E4">
        <w:rPr>
          <w:rFonts w:asciiTheme="minorHAnsi" w:hAnsiTheme="minorHAnsi" w:cstheme="minorHAnsi"/>
          <w:noProof/>
          <w:sz w:val="22"/>
          <w:szCs w:val="22"/>
        </w:rPr>
        <w:t>2.</w:t>
      </w:r>
      <w:r w:rsidRPr="00D117E4">
        <w:rPr>
          <w:rFonts w:asciiTheme="minorHAnsi" w:hAnsiTheme="minorHAnsi" w:cstheme="minorHAnsi"/>
          <w:noProof/>
          <w:sz w:val="22"/>
          <w:szCs w:val="22"/>
        </w:rPr>
        <w:tab/>
        <w:t xml:space="preserve">Najjar, F.; Gorrichon, L.; Baltas, M.; André-Barrès, C.; Vial, H., Alkylation of natural endoperoxide G3-factor. Synthesis and antimalarial activity studies. </w:t>
      </w:r>
      <w:r w:rsidRPr="00D117E4">
        <w:rPr>
          <w:rFonts w:asciiTheme="minorHAnsi" w:hAnsiTheme="minorHAnsi" w:cstheme="minorHAnsi"/>
          <w:i/>
          <w:noProof/>
          <w:sz w:val="22"/>
          <w:szCs w:val="22"/>
        </w:rPr>
        <w:t xml:space="preserve">Organic &amp; Biomolecular Chemistry </w:t>
      </w:r>
      <w:r w:rsidRPr="00D117E4">
        <w:rPr>
          <w:rFonts w:asciiTheme="minorHAnsi" w:hAnsiTheme="minorHAnsi" w:cstheme="minorHAnsi"/>
          <w:b/>
          <w:noProof/>
          <w:sz w:val="22"/>
          <w:szCs w:val="22"/>
        </w:rPr>
        <w:t>2005,</w:t>
      </w:r>
      <w:r w:rsidRPr="00D117E4">
        <w:rPr>
          <w:rFonts w:asciiTheme="minorHAnsi" w:hAnsiTheme="minorHAnsi" w:cstheme="minorHAnsi"/>
          <w:noProof/>
          <w:sz w:val="22"/>
          <w:szCs w:val="22"/>
        </w:rPr>
        <w:t xml:space="preserve"> 3, (9), 1612-1614.</w:t>
      </w:r>
    </w:p>
    <w:p w14:paraId="3C2F53E2" w14:textId="77777777" w:rsidR="00D117E4" w:rsidRDefault="00D117E4" w:rsidP="00D117E4">
      <w:r w:rsidRPr="00D117E4">
        <w:rPr>
          <w:rFonts w:asciiTheme="minorHAnsi" w:hAnsiTheme="minorHAnsi" w:cstheme="minorHAnsi"/>
          <w:sz w:val="22"/>
          <w:szCs w:val="22"/>
        </w:rPr>
        <w:fldChar w:fldCharType="end"/>
      </w:r>
    </w:p>
    <w:p w14:paraId="4DE2595A" w14:textId="7F8ABBA4" w:rsidR="0026527F" w:rsidRDefault="0026527F">
      <w:pPr>
        <w:rPr>
          <w:rFonts w:ascii="Calibri" w:hAnsi="Calibri" w:cs="Calibri"/>
          <w:color w:val="000000" w:themeColor="text1"/>
        </w:rPr>
      </w:pPr>
      <w:r>
        <w:rPr>
          <w:rFonts w:ascii="Calibri" w:hAnsi="Calibri" w:cs="Calibri"/>
          <w:color w:val="000000" w:themeColor="text1"/>
        </w:rPr>
        <w:br w:type="page"/>
      </w:r>
    </w:p>
    <w:p w14:paraId="084D881B" w14:textId="77777777" w:rsidR="0026527F" w:rsidRDefault="0026527F" w:rsidP="0026527F">
      <w:pPr>
        <w:spacing w:line="264" w:lineRule="auto"/>
        <w:jc w:val="center"/>
        <w:rPr>
          <w:rFonts w:ascii="Calibri" w:hAnsi="Calibri" w:cs="Calibri"/>
          <w:color w:val="000000" w:themeColor="text1"/>
        </w:rPr>
      </w:pPr>
    </w:p>
    <w:p w14:paraId="3172120B" w14:textId="1AA5A546" w:rsidR="00E26E0A" w:rsidRDefault="00E26E0A" w:rsidP="00E26E0A">
      <w:pPr>
        <w:spacing w:line="264" w:lineRule="auto"/>
        <w:jc w:val="center"/>
        <w:rPr>
          <w:rFonts w:ascii="Calibri" w:hAnsi="Calibri" w:cs="Calibri"/>
          <w:b/>
          <w:bCs/>
          <w:color w:val="2E74B5" w:themeColor="accent5" w:themeShade="BF"/>
          <w:lang w:val="en-GB"/>
        </w:rPr>
      </w:pPr>
      <w:r w:rsidRPr="00E26E0A">
        <w:rPr>
          <w:rFonts w:ascii="Calibri" w:hAnsi="Calibri" w:cs="Calibri"/>
          <w:b/>
          <w:bCs/>
          <w:color w:val="2E74B5" w:themeColor="accent5" w:themeShade="BF"/>
          <w:lang w:val="en-GB"/>
        </w:rPr>
        <w:t>Towards the discovery of novel Sortase A inhibitors as potential antibiofilm agents</w:t>
      </w:r>
    </w:p>
    <w:p w14:paraId="4D945E9C" w14:textId="77777777" w:rsidR="00E26E0A" w:rsidRPr="00E26E0A" w:rsidRDefault="00E26E0A" w:rsidP="00E26E0A">
      <w:pPr>
        <w:spacing w:line="264" w:lineRule="auto"/>
        <w:jc w:val="center"/>
        <w:rPr>
          <w:rFonts w:ascii="Calibri" w:hAnsi="Calibri" w:cs="Calibri"/>
          <w:b/>
          <w:bCs/>
          <w:color w:val="2E74B5" w:themeColor="accent5" w:themeShade="BF"/>
        </w:rPr>
      </w:pPr>
    </w:p>
    <w:p w14:paraId="107F5E09" w14:textId="1D2CA600" w:rsidR="00D117E4" w:rsidRPr="00D117E4" w:rsidRDefault="00E26E0A" w:rsidP="00D117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Cs/>
          <w:color w:val="000000" w:themeColor="text1"/>
          <w:lang w:val="it-IT"/>
        </w:rPr>
      </w:pPr>
      <w:r w:rsidRPr="00CF0E0C">
        <w:rPr>
          <w:rFonts w:ascii="Calibri" w:hAnsi="Calibri" w:cs="Calibri"/>
          <w:bCs/>
          <w:color w:val="000000" w:themeColor="text1"/>
          <w:u w:val="single"/>
          <w:lang w:val="pt-PT"/>
        </w:rPr>
        <w:t>Roberta Listro</w:t>
      </w:r>
      <w:r w:rsidR="00D117E4" w:rsidRPr="00CF0E0C">
        <w:rPr>
          <w:rFonts w:ascii="Calibri" w:hAnsi="Calibri" w:cs="Calibri"/>
          <w:bCs/>
          <w:color w:val="000000" w:themeColor="text1"/>
          <w:vertAlign w:val="superscript"/>
          <w:lang w:val="pt-PT"/>
        </w:rPr>
        <w:t>a</w:t>
      </w:r>
      <w:r w:rsidR="00D117E4" w:rsidRPr="00CF0E0C">
        <w:rPr>
          <w:rFonts w:ascii="Calibri" w:hAnsi="Calibri" w:cs="Calibri"/>
          <w:bCs/>
          <w:color w:val="000000" w:themeColor="text1"/>
          <w:lang w:val="pt-PT"/>
        </w:rPr>
        <w:t>,</w:t>
      </w:r>
      <w:r w:rsidR="00D117E4" w:rsidRPr="00D117E4">
        <w:rPr>
          <w:rFonts w:ascii="Helvetica" w:hAnsi="Helvetica" w:cs="Helvetica"/>
          <w:color w:val="000000"/>
          <w:lang w:val="it-IT" w:eastAsia="it-IT"/>
        </w:rPr>
        <w:t xml:space="preserve"> </w:t>
      </w:r>
      <w:r w:rsidR="00D117E4" w:rsidRPr="00D117E4">
        <w:rPr>
          <w:rFonts w:ascii="Calibri" w:hAnsi="Calibri" w:cs="Calibri"/>
          <w:bCs/>
          <w:color w:val="000000" w:themeColor="text1"/>
          <w:lang w:val="it-IT"/>
        </w:rPr>
        <w:t>Francesca Alessandra Ambrosio</w:t>
      </w:r>
      <w:r w:rsidR="00D117E4" w:rsidRPr="00CF0E0C">
        <w:rPr>
          <w:rFonts w:ascii="Calibri" w:hAnsi="Calibri" w:cs="Calibri"/>
          <w:bCs/>
          <w:color w:val="000000" w:themeColor="text1"/>
          <w:vertAlign w:val="superscript"/>
          <w:lang w:val="pt-PT"/>
        </w:rPr>
        <w:t>b</w:t>
      </w:r>
      <w:r w:rsidR="00D117E4" w:rsidRPr="00D117E4">
        <w:rPr>
          <w:rFonts w:ascii="Calibri" w:hAnsi="Calibri" w:cs="Calibri"/>
          <w:bCs/>
          <w:color w:val="000000" w:themeColor="text1"/>
          <w:lang w:val="it-IT"/>
        </w:rPr>
        <w:t>, Angelica Pellegrini</w:t>
      </w:r>
      <w:r w:rsidR="00D117E4" w:rsidRPr="00CF0E0C">
        <w:rPr>
          <w:rFonts w:ascii="Calibri" w:hAnsi="Calibri" w:cs="Calibri"/>
          <w:bCs/>
          <w:color w:val="000000" w:themeColor="text1"/>
          <w:vertAlign w:val="superscript"/>
          <w:lang w:val="pt-PT"/>
        </w:rPr>
        <w:t>a</w:t>
      </w:r>
      <w:r w:rsidR="00D117E4" w:rsidRPr="00D117E4">
        <w:rPr>
          <w:rFonts w:ascii="Calibri" w:hAnsi="Calibri" w:cs="Calibri"/>
          <w:bCs/>
          <w:color w:val="000000" w:themeColor="text1"/>
          <w:lang w:val="it-IT"/>
        </w:rPr>
        <w:t>, Giampiero Pietrocola</w:t>
      </w:r>
      <w:r w:rsidR="00D117E4" w:rsidRPr="00CF0E0C">
        <w:rPr>
          <w:rFonts w:ascii="Calibri" w:hAnsi="Calibri" w:cs="Calibri"/>
          <w:bCs/>
          <w:color w:val="000000" w:themeColor="text1"/>
          <w:vertAlign w:val="superscript"/>
          <w:lang w:val="pt-PT"/>
        </w:rPr>
        <w:t>a</w:t>
      </w:r>
      <w:r w:rsidR="00D117E4" w:rsidRPr="00D117E4">
        <w:rPr>
          <w:rFonts w:ascii="Calibri" w:hAnsi="Calibri" w:cs="Calibri"/>
          <w:bCs/>
          <w:color w:val="000000" w:themeColor="text1"/>
          <w:lang w:val="it-IT"/>
        </w:rPr>
        <w:t>, Giosuè Costa</w:t>
      </w:r>
      <w:r w:rsidR="00D117E4" w:rsidRPr="00CF0E0C">
        <w:rPr>
          <w:rFonts w:ascii="Calibri" w:hAnsi="Calibri" w:cs="Calibri"/>
          <w:bCs/>
          <w:color w:val="000000" w:themeColor="text1"/>
          <w:vertAlign w:val="superscript"/>
          <w:lang w:val="pt-PT"/>
        </w:rPr>
        <w:t>b,c</w:t>
      </w:r>
      <w:r w:rsidR="00D117E4" w:rsidRPr="00D117E4">
        <w:rPr>
          <w:rFonts w:ascii="Calibri" w:hAnsi="Calibri" w:cs="Calibri"/>
          <w:bCs/>
          <w:color w:val="000000" w:themeColor="text1"/>
          <w:lang w:val="it-IT"/>
        </w:rPr>
        <w:t>, Stefano Alcaro</w:t>
      </w:r>
      <w:r w:rsidR="00D117E4" w:rsidRPr="00CF0E0C">
        <w:rPr>
          <w:rFonts w:ascii="Calibri" w:hAnsi="Calibri" w:cs="Calibri"/>
          <w:bCs/>
          <w:color w:val="000000" w:themeColor="text1"/>
          <w:vertAlign w:val="superscript"/>
          <w:lang w:val="pt-PT"/>
        </w:rPr>
        <w:t>b,c</w:t>
      </w:r>
      <w:r w:rsidR="00D117E4" w:rsidRPr="00D117E4">
        <w:rPr>
          <w:rFonts w:ascii="Calibri" w:hAnsi="Calibri" w:cs="Calibri"/>
          <w:bCs/>
          <w:color w:val="000000" w:themeColor="text1"/>
          <w:lang w:val="it-IT"/>
        </w:rPr>
        <w:t>; Simona Collina</w:t>
      </w:r>
      <w:r w:rsidR="00D117E4" w:rsidRPr="00CF0E0C">
        <w:rPr>
          <w:rFonts w:ascii="Calibri" w:hAnsi="Calibri" w:cs="Calibri"/>
          <w:bCs/>
          <w:color w:val="000000" w:themeColor="text1"/>
          <w:vertAlign w:val="superscript"/>
          <w:lang w:val="pt-PT"/>
        </w:rPr>
        <w:t>a</w:t>
      </w:r>
    </w:p>
    <w:p w14:paraId="0147348C" w14:textId="77777777" w:rsidR="00D117E4" w:rsidRPr="00D01277" w:rsidRDefault="00D117E4" w:rsidP="00D117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Cs/>
          <w:color w:val="000000" w:themeColor="text1"/>
          <w:sz w:val="22"/>
          <w:szCs w:val="22"/>
          <w:lang w:val="it-IT"/>
        </w:rPr>
      </w:pPr>
      <w:r w:rsidRPr="00D01277">
        <w:rPr>
          <w:rFonts w:ascii="Calibri" w:hAnsi="Calibri" w:cs="Calibri"/>
          <w:bCs/>
          <w:color w:val="000000" w:themeColor="text1"/>
          <w:sz w:val="22"/>
          <w:szCs w:val="22"/>
          <w:vertAlign w:val="superscript"/>
          <w:lang w:val="en-GB"/>
        </w:rPr>
        <w:t>a</w:t>
      </w:r>
      <w:r w:rsidRPr="00D01277">
        <w:rPr>
          <w:rFonts w:ascii="Calibri" w:hAnsi="Calibri" w:cs="Calibri"/>
          <w:bCs/>
          <w:color w:val="000000" w:themeColor="text1"/>
          <w:sz w:val="22"/>
          <w:szCs w:val="22"/>
          <w:lang w:val="it-IT"/>
        </w:rPr>
        <w:t xml:space="preserve">University of Pavia, Italy; </w:t>
      </w:r>
      <w:r w:rsidRPr="00D01277">
        <w:rPr>
          <w:rFonts w:ascii="Calibri" w:hAnsi="Calibri" w:cs="Calibri"/>
          <w:bCs/>
          <w:color w:val="000000" w:themeColor="text1"/>
          <w:sz w:val="22"/>
          <w:szCs w:val="22"/>
          <w:vertAlign w:val="superscript"/>
          <w:lang w:val="en-GB"/>
        </w:rPr>
        <w:t>b</w:t>
      </w:r>
      <w:r w:rsidRPr="00D01277">
        <w:rPr>
          <w:rFonts w:ascii="Calibri" w:hAnsi="Calibri" w:cs="Calibri"/>
          <w:bCs/>
          <w:color w:val="000000" w:themeColor="text1"/>
          <w:sz w:val="22"/>
          <w:szCs w:val="22"/>
          <w:lang w:val="it-IT"/>
        </w:rPr>
        <w:t xml:space="preserve">Università “Magna Græcia” di Catanzaro, Italy; </w:t>
      </w:r>
      <w:r w:rsidRPr="00D01277">
        <w:rPr>
          <w:rFonts w:ascii="Calibri" w:hAnsi="Calibri" w:cs="Calibri"/>
          <w:bCs/>
          <w:color w:val="000000" w:themeColor="text1"/>
          <w:sz w:val="22"/>
          <w:szCs w:val="22"/>
          <w:vertAlign w:val="superscript"/>
          <w:lang w:val="en-GB"/>
        </w:rPr>
        <w:t>c</w:t>
      </w:r>
      <w:r w:rsidRPr="00D01277">
        <w:rPr>
          <w:rFonts w:ascii="Calibri" w:hAnsi="Calibri" w:cs="Calibri"/>
          <w:bCs/>
          <w:color w:val="000000" w:themeColor="text1"/>
          <w:sz w:val="22"/>
          <w:szCs w:val="22"/>
          <w:lang w:val="it-IT"/>
        </w:rPr>
        <w:t>Net4Science Academic Spin-Off, Italy.</w:t>
      </w:r>
    </w:p>
    <w:p w14:paraId="23B797F5" w14:textId="77777777" w:rsidR="00D117E4" w:rsidRPr="00D01277" w:rsidRDefault="00D117E4" w:rsidP="00D117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Cs/>
          <w:color w:val="000000" w:themeColor="text1"/>
          <w:sz w:val="22"/>
          <w:szCs w:val="22"/>
          <w:lang w:val="it-IT"/>
        </w:rPr>
      </w:pPr>
      <w:r w:rsidRPr="00D01277">
        <w:rPr>
          <w:rFonts w:ascii="Calibri" w:hAnsi="Calibri" w:cs="Calibri"/>
          <w:bCs/>
          <w:color w:val="000000" w:themeColor="text1"/>
          <w:sz w:val="22"/>
          <w:szCs w:val="22"/>
          <w:lang w:val="it-IT"/>
        </w:rPr>
        <w:t>roberta.listro@unipv.it</w:t>
      </w:r>
    </w:p>
    <w:p w14:paraId="34C5BBB9" w14:textId="77777777" w:rsidR="00D117E4" w:rsidRDefault="00D117E4" w:rsidP="00D117E4">
      <w:pPr>
        <w:jc w:val="both"/>
        <w:rPr>
          <w:rFonts w:ascii="Calibri" w:hAnsi="Calibri" w:cs="Calibri"/>
          <w:sz w:val="22"/>
          <w:szCs w:val="22"/>
        </w:rPr>
      </w:pPr>
    </w:p>
    <w:p w14:paraId="40E9FECD" w14:textId="092A8248" w:rsidR="00D117E4" w:rsidRPr="00D01277" w:rsidRDefault="00D117E4" w:rsidP="00D117E4">
      <w:pPr>
        <w:jc w:val="both"/>
        <w:rPr>
          <w:rFonts w:ascii="Calibri" w:hAnsi="Calibri" w:cs="Calibri"/>
          <w:lang w:val="it-IT"/>
        </w:rPr>
      </w:pPr>
      <w:r w:rsidRPr="00D01277">
        <w:rPr>
          <w:rFonts w:ascii="Calibri" w:hAnsi="Calibri" w:cs="Calibri"/>
          <w:lang w:val="it-IT"/>
        </w:rPr>
        <w:t>Antimicrobial resistance (AMR) is a critical threat to public health and the sustainability of healthcare systems, with superbug bacteria accounting for approximately 25% of infections and nearly 30% of AMR-related deaths. Among bacterial virulence factors, biofilm formation plays a central role in chronic and persistent infections[1]. Biofilm is a highly organized bacterial community embedded in a self-produced extracellular polymeric matrix, inherently resistant to antibiotics. Targeting bacterial adhesion, a crucial step for biofilm development, represents a promising strategy in this contest. One key target is the enzyme Sortase A (SrtA), which mediates bacterial adhesion to host tissues [2]. The project aims to develop and validate novel inhibitors of SrtA able to interfere with bacterial adhesion to the host tissue.</w:t>
      </w:r>
    </w:p>
    <w:p w14:paraId="6BE0E69F" w14:textId="77777777" w:rsidR="00D117E4" w:rsidRPr="00D01277" w:rsidRDefault="00D117E4" w:rsidP="00D117E4">
      <w:pPr>
        <w:jc w:val="both"/>
        <w:rPr>
          <w:rFonts w:ascii="Calibri" w:hAnsi="Calibri" w:cs="Calibri"/>
          <w:lang w:val="it-IT"/>
        </w:rPr>
      </w:pPr>
      <w:r w:rsidRPr="00D01277">
        <w:rPr>
          <w:rFonts w:ascii="Calibri" w:hAnsi="Calibri" w:cs="Calibri"/>
          <w:lang w:val="it-IT"/>
        </w:rPr>
        <w:t>Starting from the PDB structure of SrtA (PDB code: 2KID) [3], computational studies, including molecular dynamics (MD) and molecular docking, were employed to identify novel potential inhibitors of bacterial SrtA enzyme. Protein preparation and MD simulations were performed using the Schrödinger suite [4]. The ZINC20 database [5] was downloaded and prepared [4] for the subsequent docking studies, which were carried out by means of Glide v.8.9 SP algorithm[4].</w:t>
      </w:r>
    </w:p>
    <w:p w14:paraId="2DFC4E09" w14:textId="77777777" w:rsidR="00D117E4" w:rsidRPr="00D01277" w:rsidRDefault="00D117E4" w:rsidP="00D117E4">
      <w:pPr>
        <w:jc w:val="both"/>
        <w:rPr>
          <w:rFonts w:ascii="Calibri" w:hAnsi="Calibri" w:cs="Calibri"/>
          <w:lang w:val="it-IT"/>
        </w:rPr>
      </w:pPr>
      <w:r w:rsidRPr="00D01277">
        <w:rPr>
          <w:rFonts w:ascii="Calibri" w:hAnsi="Calibri" w:cs="Calibri"/>
          <w:lang w:val="it-IT"/>
        </w:rPr>
        <w:t>Finally, to prioritize compounds with structural diversity, seven compounds were purchased as potential SrtA ligands. Biological assays with recombinant SrtA, combined with bacterial adhesion studies on Staphylococcus aureus to immobilized fibrinogen, confirmed the promising activity of two natural compounds as effective SrtA inhibitors. This integrative approach demonstrates the potential of combining computational screening with experimental validation to identify novel anti-adhesion compounds, offering valuable insights into the development of strategies against AMR and biofilm-associated infections.</w:t>
      </w:r>
    </w:p>
    <w:p w14:paraId="58F45435" w14:textId="77777777" w:rsidR="00D117E4" w:rsidRPr="00DB273A" w:rsidRDefault="00D117E4" w:rsidP="00D117E4">
      <w:pPr>
        <w:jc w:val="both"/>
        <w:rPr>
          <w:rFonts w:ascii="Calibri" w:hAnsi="Calibri" w:cs="Calibri"/>
          <w:b/>
          <w:bCs/>
          <w:sz w:val="22"/>
          <w:szCs w:val="22"/>
        </w:rPr>
      </w:pPr>
    </w:p>
    <w:p w14:paraId="304F6B7E" w14:textId="77777777" w:rsidR="00D117E4" w:rsidRPr="00DB273A" w:rsidRDefault="00D117E4" w:rsidP="00D117E4">
      <w:pPr>
        <w:jc w:val="both"/>
        <w:rPr>
          <w:rFonts w:asciiTheme="minorHAnsi" w:hAnsiTheme="minorHAnsi" w:cstheme="minorHAnsi"/>
          <w:b/>
          <w:bCs/>
          <w:sz w:val="22"/>
          <w:szCs w:val="22"/>
        </w:rPr>
      </w:pPr>
      <w:r w:rsidRPr="00DB273A">
        <w:rPr>
          <w:rFonts w:asciiTheme="minorHAnsi" w:hAnsiTheme="minorHAnsi" w:cstheme="minorHAnsi"/>
          <w:b/>
          <w:bCs/>
          <w:sz w:val="22"/>
          <w:szCs w:val="22"/>
        </w:rPr>
        <w:t>References</w:t>
      </w:r>
    </w:p>
    <w:p w14:paraId="704743EA" w14:textId="1280650F" w:rsidR="00D117E4" w:rsidRDefault="00D117E4" w:rsidP="00D117E4">
      <w:pPr>
        <w:rPr>
          <w:rFonts w:asciiTheme="minorHAnsi" w:hAnsiTheme="minorHAnsi" w:cstheme="minorHAnsi"/>
          <w:sz w:val="22"/>
          <w:szCs w:val="22"/>
          <w:lang w:val="hu-HU"/>
        </w:rPr>
      </w:pPr>
      <w:r w:rsidRPr="00D117E4">
        <w:rPr>
          <w:rFonts w:asciiTheme="minorHAnsi" w:hAnsiTheme="minorHAnsi" w:cstheme="minorHAnsi"/>
          <w:sz w:val="22"/>
          <w:szCs w:val="22"/>
          <w:lang w:val="hu-HU"/>
        </w:rPr>
        <w:lastRenderedPageBreak/>
        <w:t>[1]Pallee S., et al. Medicine in Microecology 2023; 16:100084; [2] Mazmanian S.K., et al. Science</w:t>
      </w:r>
      <w:r>
        <w:rPr>
          <w:rFonts w:asciiTheme="minorHAnsi" w:hAnsiTheme="minorHAnsi" w:cstheme="minorHAnsi"/>
          <w:sz w:val="22"/>
          <w:szCs w:val="22"/>
          <w:lang w:val="hu-HU"/>
        </w:rPr>
        <w:t xml:space="preserve"> </w:t>
      </w:r>
      <w:r w:rsidRPr="00D117E4">
        <w:rPr>
          <w:rFonts w:asciiTheme="minorHAnsi" w:hAnsiTheme="minorHAnsi" w:cstheme="minorHAnsi"/>
          <w:sz w:val="22"/>
          <w:szCs w:val="22"/>
          <w:lang w:val="hu-HU"/>
        </w:rPr>
        <w:t xml:space="preserve">1999; 285:760-3; [3] Nuttee S., et al. Journal of Biological Chemistry, 2009, 284, 36: 24465-24477; [4] Schrödinger, LLC, New York, NY, USA, 2020; [5] </w:t>
      </w:r>
      <w:hyperlink r:id="rId41" w:history="1">
        <w:r w:rsidRPr="00847A4B">
          <w:rPr>
            <w:rStyle w:val="Hyperlink"/>
            <w:rFonts w:asciiTheme="minorHAnsi" w:hAnsiTheme="minorHAnsi" w:cstheme="minorHAnsi"/>
            <w:sz w:val="22"/>
            <w:szCs w:val="22"/>
            <w:lang w:val="hu-HU"/>
          </w:rPr>
          <w:t>https://zinc20.docking.org</w:t>
        </w:r>
      </w:hyperlink>
      <w:r w:rsidRPr="00D117E4">
        <w:rPr>
          <w:rFonts w:asciiTheme="minorHAnsi" w:hAnsiTheme="minorHAnsi" w:cstheme="minorHAnsi"/>
          <w:sz w:val="22"/>
          <w:szCs w:val="22"/>
          <w:lang w:val="hu-HU"/>
        </w:rPr>
        <w:t>.</w:t>
      </w:r>
    </w:p>
    <w:p w14:paraId="4C59BE7B" w14:textId="77777777" w:rsidR="00D117E4" w:rsidRPr="00DB273A" w:rsidRDefault="00D117E4" w:rsidP="00D117E4">
      <w:pPr>
        <w:rPr>
          <w:rFonts w:asciiTheme="minorHAnsi" w:hAnsiTheme="minorHAnsi" w:cstheme="minorHAnsi"/>
          <w:spacing w:val="2"/>
          <w:sz w:val="22"/>
          <w:szCs w:val="22"/>
          <w:shd w:val="clear" w:color="auto" w:fill="FFFFFF"/>
        </w:rPr>
      </w:pPr>
    </w:p>
    <w:p w14:paraId="79056223" w14:textId="77777777" w:rsidR="00D117E4" w:rsidRPr="00DB273A" w:rsidRDefault="00D117E4" w:rsidP="00D117E4">
      <w:pPr>
        <w:rPr>
          <w:rFonts w:asciiTheme="minorHAnsi" w:hAnsiTheme="minorHAnsi" w:cstheme="minorHAnsi"/>
          <w:b/>
          <w:bCs/>
          <w:spacing w:val="2"/>
          <w:sz w:val="22"/>
          <w:szCs w:val="22"/>
          <w:shd w:val="clear" w:color="auto" w:fill="FFFFFF"/>
        </w:rPr>
      </w:pPr>
      <w:r w:rsidRPr="00DB273A">
        <w:rPr>
          <w:rFonts w:asciiTheme="minorHAnsi" w:hAnsiTheme="minorHAnsi" w:cstheme="minorHAnsi"/>
          <w:b/>
          <w:bCs/>
          <w:spacing w:val="2"/>
          <w:sz w:val="22"/>
          <w:szCs w:val="22"/>
          <w:shd w:val="clear" w:color="auto" w:fill="FFFFFF"/>
        </w:rPr>
        <w:t>Acknowledgment</w:t>
      </w:r>
    </w:p>
    <w:p w14:paraId="2701CB30" w14:textId="1FDF70A1" w:rsidR="00E26E0A" w:rsidRPr="00D01277" w:rsidRDefault="00D117E4">
      <w:pPr>
        <w:rPr>
          <w:rFonts w:ascii="Calibri" w:hAnsi="Calibri" w:cs="Calibri"/>
          <w:color w:val="000000" w:themeColor="text1"/>
          <w:sz w:val="22"/>
          <w:szCs w:val="22"/>
        </w:rPr>
      </w:pPr>
      <w:r w:rsidRPr="00D01277">
        <w:rPr>
          <w:rFonts w:ascii="Calibri" w:hAnsi="Calibri" w:cs="Calibri"/>
          <w:color w:val="000000" w:themeColor="text1"/>
          <w:sz w:val="22"/>
          <w:szCs w:val="22"/>
        </w:rPr>
        <w:t>The Authors acknowledge PE13_INFACT_PNRR-U.A. 14.01 for the financial support.</w:t>
      </w:r>
      <w:r w:rsidR="00E26E0A" w:rsidRPr="00D01277">
        <w:rPr>
          <w:rFonts w:ascii="Calibri" w:hAnsi="Calibri" w:cs="Calibri"/>
          <w:color w:val="000000" w:themeColor="text1"/>
          <w:sz w:val="22"/>
          <w:szCs w:val="22"/>
        </w:rPr>
        <w:br w:type="page"/>
      </w:r>
    </w:p>
    <w:p w14:paraId="517E079A" w14:textId="77777777" w:rsidR="00E26E0A" w:rsidRDefault="00E26E0A" w:rsidP="00E26E0A">
      <w:pPr>
        <w:spacing w:line="264" w:lineRule="auto"/>
        <w:jc w:val="center"/>
        <w:rPr>
          <w:rFonts w:ascii="Calibri" w:hAnsi="Calibri" w:cs="Calibri"/>
          <w:color w:val="000000" w:themeColor="text1"/>
        </w:rPr>
      </w:pPr>
    </w:p>
    <w:p w14:paraId="61689981" w14:textId="77777777" w:rsidR="00E26E0A" w:rsidRDefault="00E26E0A" w:rsidP="00E26E0A">
      <w:pPr>
        <w:spacing w:line="264" w:lineRule="auto"/>
        <w:jc w:val="center"/>
        <w:rPr>
          <w:rFonts w:ascii="Calibri" w:hAnsi="Calibri" w:cs="Calibri"/>
          <w:b/>
          <w:bCs/>
          <w:color w:val="2E74B5" w:themeColor="accent5" w:themeShade="BF"/>
          <w:lang w:val="en-GB"/>
        </w:rPr>
      </w:pPr>
      <w:r w:rsidRPr="00E26E0A">
        <w:rPr>
          <w:rFonts w:ascii="Calibri" w:hAnsi="Calibri" w:cs="Calibri"/>
          <w:b/>
          <w:bCs/>
          <w:color w:val="2E74B5" w:themeColor="accent5" w:themeShade="BF"/>
          <w:lang w:val="en-GB"/>
        </w:rPr>
        <w:t>Preparedness of veterinarians to face emergency of animal leishmaniosis in urban settings of Morocco</w:t>
      </w:r>
    </w:p>
    <w:p w14:paraId="5B660607" w14:textId="77777777" w:rsidR="00E26E0A" w:rsidRDefault="00E26E0A" w:rsidP="00E26E0A">
      <w:pPr>
        <w:spacing w:line="264" w:lineRule="auto"/>
        <w:jc w:val="center"/>
        <w:rPr>
          <w:rFonts w:ascii="Calibri" w:hAnsi="Calibri" w:cs="Calibri"/>
          <w:b/>
          <w:bCs/>
          <w:color w:val="2E74B5" w:themeColor="accent5" w:themeShade="BF"/>
          <w:lang w:val="en-GB"/>
        </w:rPr>
      </w:pPr>
    </w:p>
    <w:p w14:paraId="32BC6D08" w14:textId="0356A022" w:rsidR="00D10BEE" w:rsidRPr="00D10BEE" w:rsidRDefault="00D10BEE" w:rsidP="00D10BEE">
      <w:pPr>
        <w:spacing w:line="264" w:lineRule="auto"/>
        <w:jc w:val="center"/>
        <w:rPr>
          <w:rFonts w:ascii="Calibri" w:hAnsi="Calibri" w:cs="Calibri"/>
          <w:bCs/>
          <w:iCs/>
          <w:color w:val="000000" w:themeColor="text1"/>
          <w:vertAlign w:val="superscript"/>
          <w:lang w:val="pt-PT"/>
        </w:rPr>
      </w:pPr>
      <w:r w:rsidRPr="00D10BEE">
        <w:rPr>
          <w:rFonts w:ascii="Calibri" w:hAnsi="Calibri" w:cs="Calibri"/>
          <w:bCs/>
          <w:iCs/>
          <w:color w:val="000000" w:themeColor="text1"/>
          <w:u w:val="single"/>
          <w:lang w:val="pt-PT"/>
        </w:rPr>
        <w:t>Clara Madureira Lima</w:t>
      </w:r>
      <w:r w:rsidRPr="00D10BEE">
        <w:rPr>
          <w:rFonts w:ascii="Calibri" w:hAnsi="Calibri" w:cs="Calibri"/>
          <w:bCs/>
          <w:iCs/>
          <w:color w:val="000000" w:themeColor="text1"/>
          <w:u w:val="single"/>
          <w:vertAlign w:val="superscript"/>
          <w:lang w:val="pt-PT"/>
        </w:rPr>
        <w:t>1</w:t>
      </w:r>
      <w:r w:rsidRPr="00D10BEE">
        <w:rPr>
          <w:rFonts w:ascii="Calibri" w:hAnsi="Calibri" w:cs="Calibri"/>
          <w:bCs/>
          <w:iCs/>
          <w:color w:val="000000" w:themeColor="text1"/>
          <w:vertAlign w:val="superscript"/>
          <w:lang w:val="pt-PT"/>
        </w:rPr>
        <w:t>,2*</w:t>
      </w:r>
      <w:r w:rsidRPr="00D10BEE">
        <w:rPr>
          <w:rFonts w:ascii="Calibri" w:hAnsi="Calibri" w:cs="Calibri"/>
          <w:bCs/>
          <w:iCs/>
          <w:color w:val="000000" w:themeColor="text1"/>
          <w:lang w:val="pt-PT"/>
        </w:rPr>
        <w:t>, Maria Bourquia</w:t>
      </w:r>
      <w:r w:rsidRPr="00D10BEE">
        <w:rPr>
          <w:rFonts w:ascii="Calibri" w:hAnsi="Calibri" w:cs="Calibri"/>
          <w:bCs/>
          <w:iCs/>
          <w:color w:val="000000" w:themeColor="text1"/>
          <w:vertAlign w:val="superscript"/>
          <w:lang w:val="pt-PT"/>
        </w:rPr>
        <w:t>3</w:t>
      </w:r>
      <w:r w:rsidRPr="00D10BEE">
        <w:rPr>
          <w:rFonts w:ascii="Calibri" w:hAnsi="Calibri" w:cs="Calibri"/>
          <w:bCs/>
          <w:iCs/>
          <w:color w:val="000000" w:themeColor="text1"/>
          <w:lang w:val="pt-PT"/>
        </w:rPr>
        <w:t>, Abderrahmane Zahiri</w:t>
      </w:r>
      <w:r w:rsidRPr="00D10BEE">
        <w:rPr>
          <w:rFonts w:ascii="Calibri" w:hAnsi="Calibri" w:cs="Calibri"/>
          <w:bCs/>
          <w:iCs/>
          <w:color w:val="000000" w:themeColor="text1"/>
          <w:vertAlign w:val="superscript"/>
          <w:lang w:val="pt-PT"/>
        </w:rPr>
        <w:t>3</w:t>
      </w:r>
      <w:r w:rsidRPr="00D10BEE">
        <w:rPr>
          <w:rFonts w:ascii="Calibri" w:hAnsi="Calibri" w:cs="Calibri"/>
          <w:bCs/>
          <w:iCs/>
          <w:color w:val="000000" w:themeColor="text1"/>
          <w:lang w:val="pt-PT"/>
        </w:rPr>
        <w:t>, Nada Haissen</w:t>
      </w:r>
      <w:r w:rsidRPr="00D10BEE">
        <w:rPr>
          <w:rFonts w:ascii="Calibri" w:hAnsi="Calibri" w:cs="Calibri"/>
          <w:bCs/>
          <w:iCs/>
          <w:color w:val="000000" w:themeColor="text1"/>
          <w:vertAlign w:val="superscript"/>
          <w:lang w:val="pt-PT"/>
        </w:rPr>
        <w:t>3</w:t>
      </w:r>
      <w:r w:rsidRPr="00D10BEE">
        <w:rPr>
          <w:rFonts w:ascii="Calibri" w:hAnsi="Calibri" w:cs="Calibri"/>
          <w:bCs/>
          <w:iCs/>
          <w:color w:val="000000" w:themeColor="text1"/>
          <w:lang w:val="pt-PT"/>
        </w:rPr>
        <w:t>, Nuno Santarém</w:t>
      </w:r>
      <w:r w:rsidRPr="00D10BEE">
        <w:rPr>
          <w:rFonts w:ascii="Calibri" w:hAnsi="Calibri" w:cs="Calibri"/>
          <w:bCs/>
          <w:iCs/>
          <w:color w:val="000000" w:themeColor="text1"/>
          <w:vertAlign w:val="superscript"/>
          <w:lang w:val="pt-PT"/>
        </w:rPr>
        <w:t>1</w:t>
      </w:r>
      <w:r w:rsidRPr="00D10BEE">
        <w:rPr>
          <w:rFonts w:ascii="Calibri" w:hAnsi="Calibri" w:cs="Calibri"/>
          <w:bCs/>
          <w:iCs/>
          <w:color w:val="000000" w:themeColor="text1"/>
          <w:lang w:val="pt-PT"/>
        </w:rPr>
        <w:t>, Luís Cardoso</w:t>
      </w:r>
      <w:r w:rsidRPr="00D10BEE">
        <w:rPr>
          <w:rFonts w:ascii="Calibri" w:hAnsi="Calibri" w:cs="Calibri"/>
          <w:bCs/>
          <w:iCs/>
          <w:color w:val="000000" w:themeColor="text1"/>
          <w:vertAlign w:val="superscript"/>
          <w:lang w:val="pt-PT"/>
        </w:rPr>
        <w:t>4,5</w:t>
      </w:r>
      <w:r w:rsidRPr="00D10BEE">
        <w:rPr>
          <w:rFonts w:ascii="Calibri" w:hAnsi="Calibri" w:cs="Calibri"/>
          <w:bCs/>
          <w:iCs/>
          <w:color w:val="000000" w:themeColor="text1"/>
          <w:lang w:val="pt-PT"/>
        </w:rPr>
        <w:t>, Anabela Cordeiro da Silva</w:t>
      </w:r>
      <w:r w:rsidRPr="00D10BEE">
        <w:rPr>
          <w:rFonts w:ascii="Calibri" w:hAnsi="Calibri" w:cs="Calibri"/>
          <w:bCs/>
          <w:iCs/>
          <w:color w:val="000000" w:themeColor="text1"/>
          <w:vertAlign w:val="superscript"/>
          <w:lang w:val="pt-PT"/>
        </w:rPr>
        <w:t>1,2</w:t>
      </w:r>
      <w:r w:rsidRPr="00D10BEE">
        <w:rPr>
          <w:rFonts w:ascii="Calibri" w:hAnsi="Calibri" w:cs="Calibri"/>
          <w:bCs/>
          <w:iCs/>
          <w:color w:val="000000" w:themeColor="text1"/>
          <w:lang w:val="pt-PT"/>
        </w:rPr>
        <w:t xml:space="preserve"> </w:t>
      </w:r>
    </w:p>
    <w:p w14:paraId="01AFAB12" w14:textId="77777777" w:rsidR="00D10BEE" w:rsidRPr="00D01277" w:rsidRDefault="00D10BEE" w:rsidP="00D10BEE">
      <w:pPr>
        <w:spacing w:line="264" w:lineRule="auto"/>
        <w:jc w:val="center"/>
        <w:rPr>
          <w:rFonts w:ascii="Calibri" w:hAnsi="Calibri" w:cs="Calibri"/>
          <w:bCs/>
          <w:iCs/>
          <w:color w:val="000000" w:themeColor="text1"/>
          <w:sz w:val="22"/>
          <w:szCs w:val="22"/>
          <w:lang w:val="en-GB"/>
        </w:rPr>
      </w:pPr>
      <w:r w:rsidRPr="00D01277">
        <w:rPr>
          <w:rFonts w:ascii="Calibri" w:hAnsi="Calibri" w:cs="Calibri"/>
          <w:bCs/>
          <w:iCs/>
          <w:color w:val="000000" w:themeColor="text1"/>
          <w:sz w:val="22"/>
          <w:szCs w:val="22"/>
          <w:vertAlign w:val="superscript"/>
          <w:lang w:val="en-GB"/>
        </w:rPr>
        <w:t>1</w:t>
      </w:r>
      <w:r w:rsidRPr="00D01277">
        <w:rPr>
          <w:rFonts w:ascii="Calibri" w:hAnsi="Calibri" w:cs="Calibri"/>
          <w:bCs/>
          <w:iCs/>
          <w:color w:val="000000" w:themeColor="text1"/>
          <w:sz w:val="22"/>
          <w:szCs w:val="22"/>
          <w:lang w:val="en-GB"/>
        </w:rPr>
        <w:t>Department of Biological Sciences, Microbiology Laboratory, Faculty of Pharmacy, University of Porto, Porto, Portugal</w:t>
      </w:r>
    </w:p>
    <w:p w14:paraId="4B4278E0" w14:textId="77777777" w:rsidR="00D10BEE" w:rsidRPr="00D01277" w:rsidRDefault="00D10BEE" w:rsidP="00D10BEE">
      <w:pPr>
        <w:spacing w:line="264" w:lineRule="auto"/>
        <w:jc w:val="center"/>
        <w:rPr>
          <w:rFonts w:ascii="Calibri" w:hAnsi="Calibri" w:cs="Calibri"/>
          <w:bCs/>
          <w:iCs/>
          <w:color w:val="000000" w:themeColor="text1"/>
          <w:sz w:val="22"/>
          <w:szCs w:val="22"/>
        </w:rPr>
      </w:pPr>
      <w:r w:rsidRPr="00D01277">
        <w:rPr>
          <w:rFonts w:ascii="Calibri" w:hAnsi="Calibri" w:cs="Calibri"/>
          <w:bCs/>
          <w:iCs/>
          <w:color w:val="000000" w:themeColor="text1"/>
          <w:sz w:val="22"/>
          <w:szCs w:val="22"/>
          <w:vertAlign w:val="superscript"/>
        </w:rPr>
        <w:t xml:space="preserve">2 </w:t>
      </w:r>
      <w:r w:rsidRPr="00D01277">
        <w:rPr>
          <w:rFonts w:ascii="Calibri" w:hAnsi="Calibri" w:cs="Calibri"/>
          <w:bCs/>
          <w:iCs/>
          <w:color w:val="000000" w:themeColor="text1"/>
          <w:sz w:val="22"/>
          <w:szCs w:val="22"/>
        </w:rPr>
        <w:t>i3S, Institute for Research and Innovation in Health, University of Porto, Porto, Portugal</w:t>
      </w:r>
    </w:p>
    <w:p w14:paraId="50241114" w14:textId="77777777" w:rsidR="00D10BEE" w:rsidRPr="00D01277" w:rsidRDefault="00D10BEE" w:rsidP="00D10BEE">
      <w:pPr>
        <w:spacing w:line="264" w:lineRule="auto"/>
        <w:jc w:val="center"/>
        <w:rPr>
          <w:rFonts w:ascii="Calibri" w:hAnsi="Calibri" w:cs="Calibri"/>
          <w:bCs/>
          <w:iCs/>
          <w:color w:val="000000" w:themeColor="text1"/>
          <w:sz w:val="22"/>
          <w:szCs w:val="22"/>
          <w:lang w:val="pt-PT"/>
        </w:rPr>
      </w:pPr>
      <w:r w:rsidRPr="00D01277">
        <w:rPr>
          <w:rFonts w:ascii="Calibri" w:hAnsi="Calibri" w:cs="Calibri"/>
          <w:bCs/>
          <w:iCs/>
          <w:color w:val="000000" w:themeColor="text1"/>
          <w:sz w:val="22"/>
          <w:szCs w:val="22"/>
          <w:vertAlign w:val="superscript"/>
          <w:lang w:val="pt-PT"/>
        </w:rPr>
        <w:t>3</w:t>
      </w:r>
      <w:r w:rsidRPr="00D01277">
        <w:rPr>
          <w:rFonts w:ascii="Calibri" w:hAnsi="Calibri" w:cs="Calibri"/>
          <w:bCs/>
          <w:iCs/>
          <w:color w:val="000000" w:themeColor="text1"/>
          <w:sz w:val="22"/>
          <w:szCs w:val="22"/>
          <w:lang w:val="pt-PT"/>
        </w:rPr>
        <w:t xml:space="preserve"> Unité de Parasitologie et Maladies Parasitaires, Département de Pathologie et Santé Publique Vétérinaires, Institut Agronomique et Vétérinaire Hassan II, Rabat, Morocco</w:t>
      </w:r>
    </w:p>
    <w:p w14:paraId="12B005BC" w14:textId="77777777" w:rsidR="00D10BEE" w:rsidRPr="00D01277" w:rsidRDefault="00D10BEE" w:rsidP="00D10BEE">
      <w:pPr>
        <w:spacing w:line="264" w:lineRule="auto"/>
        <w:jc w:val="center"/>
        <w:rPr>
          <w:rFonts w:ascii="Calibri" w:hAnsi="Calibri" w:cs="Calibri"/>
          <w:bCs/>
          <w:iCs/>
          <w:color w:val="000000" w:themeColor="text1"/>
          <w:sz w:val="22"/>
          <w:szCs w:val="22"/>
        </w:rPr>
      </w:pPr>
      <w:r w:rsidRPr="00D01277">
        <w:rPr>
          <w:rFonts w:ascii="Calibri" w:hAnsi="Calibri" w:cs="Calibri"/>
          <w:bCs/>
          <w:iCs/>
          <w:color w:val="000000" w:themeColor="text1"/>
          <w:sz w:val="22"/>
          <w:szCs w:val="22"/>
          <w:vertAlign w:val="superscript"/>
        </w:rPr>
        <w:t>4</w:t>
      </w:r>
      <w:r w:rsidRPr="00D01277">
        <w:rPr>
          <w:rFonts w:ascii="Calibri" w:hAnsi="Calibri" w:cs="Calibri"/>
          <w:bCs/>
          <w:iCs/>
          <w:color w:val="000000" w:themeColor="text1"/>
          <w:sz w:val="22"/>
          <w:szCs w:val="22"/>
        </w:rPr>
        <w:t xml:space="preserve"> Department of Veterinary Sciences, and Animal and Veterinary Research Centre (CECAV), University of Trás-os-Montes e Alto Douro (UTAD), Vila Real, Portugal; </w:t>
      </w:r>
      <w:r w:rsidRPr="00D01277">
        <w:rPr>
          <w:rFonts w:ascii="Calibri" w:hAnsi="Calibri" w:cs="Calibri"/>
          <w:bCs/>
          <w:iCs/>
          <w:color w:val="000000" w:themeColor="text1"/>
          <w:sz w:val="22"/>
          <w:szCs w:val="22"/>
          <w:vertAlign w:val="superscript"/>
        </w:rPr>
        <w:t>5</w:t>
      </w:r>
      <w:r w:rsidRPr="00D01277">
        <w:rPr>
          <w:rFonts w:ascii="Calibri" w:hAnsi="Calibri" w:cs="Calibri"/>
          <w:bCs/>
          <w:iCs/>
          <w:color w:val="000000" w:themeColor="text1"/>
          <w:sz w:val="22"/>
          <w:szCs w:val="22"/>
        </w:rPr>
        <w:t>Associate Laboratory for Animal and Veterinary Sciences (AL4AnimalS), Portugal.</w:t>
      </w:r>
    </w:p>
    <w:p w14:paraId="05D8AC22" w14:textId="77777777" w:rsidR="00D10BEE" w:rsidRPr="00D01277" w:rsidRDefault="00D10BEE" w:rsidP="00D10BEE">
      <w:pPr>
        <w:spacing w:line="264" w:lineRule="auto"/>
        <w:jc w:val="center"/>
        <w:rPr>
          <w:rFonts w:ascii="Calibri" w:hAnsi="Calibri" w:cs="Calibri"/>
          <w:bCs/>
          <w:iCs/>
          <w:color w:val="000000" w:themeColor="text1"/>
          <w:sz w:val="22"/>
          <w:szCs w:val="22"/>
          <w:vertAlign w:val="superscript"/>
          <w:lang w:val="en-GB"/>
        </w:rPr>
      </w:pPr>
    </w:p>
    <w:p w14:paraId="6450359E" w14:textId="77777777" w:rsidR="00D10BEE" w:rsidRPr="00D01277" w:rsidRDefault="00D10BEE" w:rsidP="00D10BEE">
      <w:pPr>
        <w:spacing w:line="264" w:lineRule="auto"/>
        <w:jc w:val="center"/>
        <w:rPr>
          <w:rFonts w:ascii="Calibri" w:hAnsi="Calibri" w:cs="Calibri"/>
          <w:bCs/>
          <w:iCs/>
          <w:color w:val="000000" w:themeColor="text1"/>
          <w:sz w:val="22"/>
          <w:szCs w:val="22"/>
          <w:lang w:val="it-IT"/>
        </w:rPr>
      </w:pPr>
      <w:r w:rsidRPr="00D01277">
        <w:rPr>
          <w:rFonts w:ascii="Calibri" w:hAnsi="Calibri" w:cs="Calibri"/>
          <w:bCs/>
          <w:iCs/>
          <w:color w:val="000000" w:themeColor="text1"/>
          <w:sz w:val="22"/>
          <w:szCs w:val="22"/>
          <w:lang w:val="it-IT"/>
        </w:rPr>
        <w:t>*clara.lima@ibmc.up.pt</w:t>
      </w:r>
    </w:p>
    <w:p w14:paraId="06282179" w14:textId="77777777" w:rsidR="00D10BEE" w:rsidRPr="00D10BEE" w:rsidRDefault="00D10BEE" w:rsidP="00D10BEE">
      <w:pPr>
        <w:spacing w:line="264" w:lineRule="auto"/>
        <w:jc w:val="both"/>
        <w:rPr>
          <w:rFonts w:ascii="Calibri" w:hAnsi="Calibri" w:cs="Calibri"/>
          <w:b/>
          <w:bCs/>
          <w:iCs/>
          <w:color w:val="000000" w:themeColor="text1"/>
        </w:rPr>
      </w:pPr>
    </w:p>
    <w:p w14:paraId="4C98D02F" w14:textId="77777777" w:rsidR="00D10BEE" w:rsidRPr="00D10BEE" w:rsidRDefault="00D10BEE" w:rsidP="00D10BEE">
      <w:pPr>
        <w:spacing w:line="264" w:lineRule="auto"/>
        <w:jc w:val="both"/>
        <w:rPr>
          <w:rFonts w:ascii="Calibri" w:hAnsi="Calibri" w:cs="Calibri"/>
          <w:bCs/>
          <w:iCs/>
          <w:color w:val="000000" w:themeColor="text1"/>
        </w:rPr>
      </w:pPr>
      <w:r w:rsidRPr="00D10BEE">
        <w:rPr>
          <w:rFonts w:ascii="Calibri" w:hAnsi="Calibri" w:cs="Calibri"/>
          <w:bCs/>
          <w:iCs/>
          <w:color w:val="000000" w:themeColor="text1"/>
        </w:rPr>
        <w:t>Leishmaniosis caused by </w:t>
      </w:r>
      <w:r w:rsidRPr="00D10BEE">
        <w:rPr>
          <w:rFonts w:ascii="Calibri" w:hAnsi="Calibri" w:cs="Calibri"/>
          <w:bCs/>
          <w:i/>
          <w:iCs/>
          <w:color w:val="000000" w:themeColor="text1"/>
        </w:rPr>
        <w:t>Leishmania infantum</w:t>
      </w:r>
      <w:r w:rsidRPr="00D10BEE">
        <w:rPr>
          <w:rFonts w:ascii="Calibri" w:hAnsi="Calibri" w:cs="Calibri"/>
          <w:bCs/>
          <w:iCs/>
          <w:color w:val="000000" w:themeColor="text1"/>
        </w:rPr>
        <w:t>, </w:t>
      </w:r>
      <w:r w:rsidRPr="00D10BEE">
        <w:rPr>
          <w:rFonts w:ascii="Calibri" w:hAnsi="Calibri" w:cs="Calibri"/>
          <w:bCs/>
          <w:i/>
          <w:iCs/>
          <w:color w:val="000000" w:themeColor="text1"/>
        </w:rPr>
        <w:t>L. major</w:t>
      </w:r>
      <w:r w:rsidRPr="00D10BEE">
        <w:rPr>
          <w:rFonts w:ascii="Calibri" w:hAnsi="Calibri" w:cs="Calibri"/>
          <w:bCs/>
          <w:iCs/>
          <w:color w:val="000000" w:themeColor="text1"/>
        </w:rPr>
        <w:t> and </w:t>
      </w:r>
      <w:r w:rsidRPr="00D10BEE">
        <w:rPr>
          <w:rFonts w:ascii="Calibri" w:hAnsi="Calibri" w:cs="Calibri"/>
          <w:bCs/>
          <w:i/>
          <w:iCs/>
          <w:color w:val="000000" w:themeColor="text1"/>
        </w:rPr>
        <w:t>L. tropica</w:t>
      </w:r>
      <w:r w:rsidRPr="00D10BEE">
        <w:rPr>
          <w:rFonts w:ascii="Calibri" w:hAnsi="Calibri" w:cs="Calibri"/>
          <w:bCs/>
          <w:iCs/>
          <w:color w:val="000000" w:themeColor="text1"/>
        </w:rPr>
        <w:t> is endemic in Morocco. Growing evidence of both human and canine </w:t>
      </w:r>
      <w:r w:rsidRPr="00D10BEE">
        <w:rPr>
          <w:rFonts w:ascii="Calibri" w:hAnsi="Calibri" w:cs="Calibri"/>
          <w:bCs/>
          <w:i/>
          <w:iCs/>
          <w:color w:val="000000" w:themeColor="text1"/>
        </w:rPr>
        <w:t>Leishmania</w:t>
      </w:r>
      <w:r w:rsidRPr="00D10BEE">
        <w:rPr>
          <w:rFonts w:ascii="Calibri" w:hAnsi="Calibri" w:cs="Calibri"/>
          <w:bCs/>
          <w:iCs/>
          <w:color w:val="000000" w:themeColor="text1"/>
        </w:rPr>
        <w:t> infections in urban centres has been reported. Since many forms of the disease are zoonotic, veterinarians play an important role in leishmaniosis control by intervening at the parasite host level. This study aimed to bring together One Health principles to connect canine and feline leishmaniosis epidemiology within urban centres of Morocco (Rabat and Fez) and assess the level of awareness of Moroccan veterinarians about facing this threat.</w:t>
      </w:r>
    </w:p>
    <w:p w14:paraId="1D7781E1" w14:textId="77777777" w:rsidR="00D10BEE" w:rsidRPr="00D10BEE" w:rsidRDefault="00D10BEE" w:rsidP="00D10BEE">
      <w:pPr>
        <w:spacing w:line="264" w:lineRule="auto"/>
        <w:jc w:val="both"/>
        <w:rPr>
          <w:rFonts w:ascii="Calibri" w:hAnsi="Calibri" w:cs="Calibri"/>
          <w:b/>
          <w:bCs/>
          <w:iCs/>
          <w:color w:val="000000" w:themeColor="text1"/>
        </w:rPr>
      </w:pPr>
    </w:p>
    <w:p w14:paraId="0CBE504F" w14:textId="77777777" w:rsidR="00D10BEE" w:rsidRPr="00D10BEE" w:rsidRDefault="00D10BEE" w:rsidP="00D10BEE">
      <w:pPr>
        <w:spacing w:line="264" w:lineRule="auto"/>
        <w:jc w:val="both"/>
        <w:rPr>
          <w:rFonts w:ascii="Calibri" w:hAnsi="Calibri" w:cs="Calibri"/>
          <w:bCs/>
          <w:iCs/>
          <w:color w:val="000000" w:themeColor="text1"/>
          <w:lang w:val="en-GB"/>
        </w:rPr>
      </w:pPr>
      <w:r w:rsidRPr="00D10BEE">
        <w:rPr>
          <w:rFonts w:ascii="Calibri" w:hAnsi="Calibri" w:cs="Calibri"/>
          <w:bCs/>
          <w:iCs/>
          <w:color w:val="000000" w:themeColor="text1"/>
          <w:lang w:val="en-GB"/>
        </w:rPr>
        <w:t xml:space="preserve">As a proof of concept, a serological and molecular epidemiological survey was developed in the cities of Rabat and Fez to confirm the presence of </w:t>
      </w:r>
      <w:r w:rsidRPr="00D10BEE">
        <w:rPr>
          <w:rFonts w:ascii="Calibri" w:hAnsi="Calibri" w:cs="Calibri"/>
          <w:bCs/>
          <w:i/>
          <w:iCs/>
          <w:color w:val="000000" w:themeColor="text1"/>
          <w:lang w:val="en-GB"/>
        </w:rPr>
        <w:t>Leishmania-</w:t>
      </w:r>
      <w:r w:rsidRPr="00D10BEE">
        <w:rPr>
          <w:rFonts w:ascii="Calibri" w:hAnsi="Calibri" w:cs="Calibri"/>
          <w:bCs/>
          <w:iCs/>
          <w:color w:val="000000" w:themeColor="text1"/>
          <w:lang w:val="en-GB"/>
        </w:rPr>
        <w:t xml:space="preserve">infected animals. For the purpose, </w:t>
      </w:r>
      <w:r w:rsidRPr="00D10BEE">
        <w:rPr>
          <w:rFonts w:ascii="Calibri" w:hAnsi="Calibri" w:cs="Calibri"/>
          <w:bCs/>
          <w:iCs/>
          <w:color w:val="000000" w:themeColor="text1"/>
        </w:rPr>
        <w:t>blood samples were collected from owned and sheltered dogs (n=159) and cats (n=32) between February 2023 and December 2023. Total anti-</w:t>
      </w:r>
      <w:r w:rsidRPr="00D10BEE">
        <w:rPr>
          <w:rFonts w:ascii="Calibri" w:hAnsi="Calibri" w:cs="Calibri"/>
          <w:bCs/>
          <w:i/>
          <w:iCs/>
          <w:color w:val="000000" w:themeColor="text1"/>
        </w:rPr>
        <w:t>Leishmania</w:t>
      </w:r>
      <w:r w:rsidRPr="00D10BEE">
        <w:rPr>
          <w:rFonts w:ascii="Calibri" w:hAnsi="Calibri" w:cs="Calibri"/>
          <w:bCs/>
          <w:iCs/>
          <w:color w:val="000000" w:themeColor="text1"/>
        </w:rPr>
        <w:t xml:space="preserve"> IgG was detected using an ELISA assay based on soluble </w:t>
      </w:r>
      <w:r w:rsidRPr="00D10BEE">
        <w:rPr>
          <w:rFonts w:ascii="Calibri" w:hAnsi="Calibri" w:cs="Calibri"/>
          <w:bCs/>
          <w:i/>
          <w:iCs/>
          <w:color w:val="000000" w:themeColor="text1"/>
        </w:rPr>
        <w:t>L. infantum</w:t>
      </w:r>
      <w:r w:rsidRPr="00D10BEE">
        <w:rPr>
          <w:rFonts w:ascii="Calibri" w:hAnsi="Calibri" w:cs="Calibri"/>
          <w:bCs/>
          <w:iCs/>
          <w:color w:val="000000" w:themeColor="text1"/>
        </w:rPr>
        <w:t xml:space="preserve"> promastigote antigen (SPLA); recombinant KDDR (rKDDR) and </w:t>
      </w:r>
      <w:r w:rsidRPr="00D10BEE">
        <w:rPr>
          <w:rFonts w:ascii="Calibri" w:hAnsi="Calibri" w:cs="Calibri"/>
          <w:bCs/>
          <w:i/>
          <w:iCs/>
          <w:color w:val="000000" w:themeColor="text1"/>
        </w:rPr>
        <w:t>Leishmania</w:t>
      </w:r>
      <w:r w:rsidRPr="00D10BEE">
        <w:rPr>
          <w:rFonts w:ascii="Calibri" w:hAnsi="Calibri" w:cs="Calibri"/>
          <w:bCs/>
          <w:iCs/>
          <w:color w:val="000000" w:themeColor="text1"/>
        </w:rPr>
        <w:t xml:space="preserve"> cytosolic peroxiredoxin (CPX) antigens. In parallel, molecular detection of </w:t>
      </w:r>
      <w:r w:rsidRPr="00D10BEE">
        <w:rPr>
          <w:rFonts w:ascii="Calibri" w:hAnsi="Calibri" w:cs="Calibri"/>
          <w:bCs/>
          <w:i/>
          <w:iCs/>
          <w:color w:val="000000" w:themeColor="text1"/>
        </w:rPr>
        <w:t>Leishmania</w:t>
      </w:r>
      <w:r w:rsidRPr="00D10BEE">
        <w:rPr>
          <w:rFonts w:ascii="Calibri" w:hAnsi="Calibri" w:cs="Calibri"/>
          <w:bCs/>
          <w:iCs/>
          <w:color w:val="000000" w:themeColor="text1"/>
        </w:rPr>
        <w:t xml:space="preserve"> kDNA was performed by primers RV1 and RV2, further complemented with ITS-1 sequencing, whenever it was possible to amplify the latter. </w:t>
      </w:r>
      <w:r w:rsidRPr="00D10BEE">
        <w:rPr>
          <w:rFonts w:ascii="Calibri" w:hAnsi="Calibri" w:cs="Calibri"/>
          <w:bCs/>
          <w:iCs/>
          <w:color w:val="000000" w:themeColor="text1"/>
          <w:lang w:val="en-GB"/>
        </w:rPr>
        <w:t xml:space="preserve">Alongside, a survey on local veterinarians’ knowledge, perceptions, and practices (KPP) regarding animal leishmaniosis was </w:t>
      </w:r>
      <w:r w:rsidRPr="00D10BEE">
        <w:rPr>
          <w:rFonts w:ascii="Calibri" w:hAnsi="Calibri" w:cs="Calibri"/>
          <w:bCs/>
          <w:iCs/>
          <w:color w:val="000000" w:themeColor="text1"/>
        </w:rPr>
        <w:lastRenderedPageBreak/>
        <w:t xml:space="preserve">conducted on Google Forms and </w:t>
      </w:r>
      <w:r w:rsidRPr="00D10BEE">
        <w:rPr>
          <w:rFonts w:ascii="Calibri" w:hAnsi="Calibri" w:cs="Calibri"/>
          <w:bCs/>
          <w:iCs/>
          <w:color w:val="000000" w:themeColor="text1"/>
          <w:lang w:val="en-GB"/>
        </w:rPr>
        <w:t>implemented as an</w:t>
      </w:r>
      <w:r w:rsidRPr="00D10BEE">
        <w:rPr>
          <w:rFonts w:ascii="Calibri" w:hAnsi="Calibri" w:cs="Calibri"/>
          <w:bCs/>
          <w:iCs/>
          <w:color w:val="000000" w:themeColor="text1"/>
        </w:rPr>
        <w:t xml:space="preserve"> online questionnaire. Potential respondents (n=220) were contacted by email and social media with a request to participate through a link provided to assess the questionnaire.</w:t>
      </w:r>
    </w:p>
    <w:p w14:paraId="4C498740" w14:textId="77777777" w:rsidR="00D10BEE" w:rsidRPr="00D10BEE" w:rsidRDefault="00D10BEE" w:rsidP="00D10BEE">
      <w:pPr>
        <w:spacing w:line="264" w:lineRule="auto"/>
        <w:jc w:val="both"/>
        <w:rPr>
          <w:rFonts w:ascii="Calibri" w:hAnsi="Calibri" w:cs="Calibri"/>
          <w:bCs/>
          <w:iCs/>
          <w:color w:val="000000" w:themeColor="text1"/>
        </w:rPr>
      </w:pPr>
      <w:r w:rsidRPr="00D10BEE">
        <w:rPr>
          <w:rFonts w:ascii="Calibri" w:hAnsi="Calibri" w:cs="Calibri"/>
          <w:bCs/>
          <w:iCs/>
          <w:color w:val="000000" w:themeColor="text1"/>
        </w:rPr>
        <w:t>A considerable prevalence of infection was identified in dogs from urban centres of Morocco. Additionally, this is the first report of feline infection with </w:t>
      </w:r>
      <w:r w:rsidRPr="00D10BEE">
        <w:rPr>
          <w:rFonts w:ascii="Calibri" w:hAnsi="Calibri" w:cs="Calibri"/>
          <w:bCs/>
          <w:i/>
          <w:iCs/>
          <w:color w:val="000000" w:themeColor="text1"/>
        </w:rPr>
        <w:t>Leishmania</w:t>
      </w:r>
      <w:r w:rsidRPr="00D10BEE">
        <w:rPr>
          <w:rFonts w:ascii="Calibri" w:hAnsi="Calibri" w:cs="Calibri"/>
          <w:bCs/>
          <w:iCs/>
          <w:color w:val="000000" w:themeColor="text1"/>
        </w:rPr>
        <w:t> spp. in this country and in urban settings. Moroccan veterinarians are aware that animal leishmaniosis is endemic in Morocco, representing a public health threat, and are knowledgeable about canine leishmaniosis diagnosis and treatment.</w:t>
      </w:r>
    </w:p>
    <w:p w14:paraId="2CF92053" w14:textId="77777777" w:rsidR="00D10BEE" w:rsidRPr="00D10BEE" w:rsidRDefault="00D10BEE" w:rsidP="00D10BEE">
      <w:pPr>
        <w:spacing w:line="264" w:lineRule="auto"/>
        <w:jc w:val="both"/>
        <w:rPr>
          <w:rFonts w:ascii="Calibri" w:hAnsi="Calibri" w:cs="Calibri"/>
          <w:b/>
          <w:bCs/>
          <w:iCs/>
          <w:color w:val="000000" w:themeColor="text1"/>
        </w:rPr>
      </w:pPr>
    </w:p>
    <w:p w14:paraId="4DB52680" w14:textId="4A93F489" w:rsidR="00D10BEE" w:rsidRPr="00D01277" w:rsidRDefault="00D10BEE" w:rsidP="00D10BEE">
      <w:pPr>
        <w:spacing w:line="264" w:lineRule="auto"/>
        <w:jc w:val="both"/>
        <w:rPr>
          <w:rFonts w:ascii="Calibri" w:hAnsi="Calibri" w:cs="Calibri"/>
          <w:b/>
          <w:bCs/>
          <w:iCs/>
          <w:color w:val="000000" w:themeColor="text1"/>
          <w:sz w:val="22"/>
          <w:szCs w:val="22"/>
          <w:lang w:val="pt-PT"/>
        </w:rPr>
      </w:pPr>
      <w:r w:rsidRPr="00D01277">
        <w:rPr>
          <w:rFonts w:ascii="Calibri" w:hAnsi="Calibri" w:cs="Calibri"/>
          <w:b/>
          <w:bCs/>
          <w:iCs/>
          <w:color w:val="000000" w:themeColor="text1"/>
          <w:sz w:val="22"/>
          <w:szCs w:val="22"/>
          <w:lang w:val="pt-PT"/>
        </w:rPr>
        <w:t>References</w:t>
      </w:r>
    </w:p>
    <w:p w14:paraId="3992DDFC" w14:textId="77777777" w:rsidR="00D10BEE" w:rsidRPr="00D01277" w:rsidRDefault="00D10BEE" w:rsidP="00D10BEE">
      <w:pPr>
        <w:spacing w:line="264" w:lineRule="auto"/>
        <w:jc w:val="both"/>
        <w:rPr>
          <w:rFonts w:ascii="Calibri" w:hAnsi="Calibri" w:cs="Calibri"/>
          <w:bCs/>
          <w:iCs/>
          <w:color w:val="000000" w:themeColor="text1"/>
          <w:sz w:val="22"/>
          <w:szCs w:val="22"/>
        </w:rPr>
      </w:pPr>
      <w:r w:rsidRPr="00D01277">
        <w:rPr>
          <w:rFonts w:ascii="Calibri" w:hAnsi="Calibri" w:cs="Calibri"/>
          <w:bCs/>
          <w:iCs/>
          <w:color w:val="000000" w:themeColor="text1"/>
          <w:sz w:val="22"/>
          <w:szCs w:val="22"/>
          <w:lang w:val="pt-PT"/>
        </w:rPr>
        <w:t xml:space="preserve">Lima, C.M., Bourquia, M., Zahri, A. et al. </w:t>
      </w:r>
      <w:r w:rsidRPr="00D01277">
        <w:rPr>
          <w:rFonts w:ascii="Calibri" w:hAnsi="Calibri" w:cs="Calibri"/>
          <w:bCs/>
          <w:iCs/>
          <w:color w:val="000000" w:themeColor="text1"/>
          <w:sz w:val="22"/>
          <w:szCs w:val="22"/>
        </w:rPr>
        <w:t>Veterinary perspectives on the urbanization of leishmaniosis in Morocco. Parasites Vectors 17, 348 (2024). DOI 10.1186/s13071-024-06411-5</w:t>
      </w:r>
    </w:p>
    <w:p w14:paraId="37B90C6B" w14:textId="525ACC16" w:rsidR="00E26E0A" w:rsidRPr="00D01277" w:rsidRDefault="00E26E0A" w:rsidP="00E26E0A">
      <w:pPr>
        <w:spacing w:line="264" w:lineRule="auto"/>
        <w:jc w:val="center"/>
        <w:rPr>
          <w:rFonts w:ascii="Calibri" w:hAnsi="Calibri" w:cs="Calibri"/>
          <w:bCs/>
          <w:iCs/>
          <w:color w:val="000000" w:themeColor="text1"/>
          <w:sz w:val="22"/>
          <w:szCs w:val="22"/>
          <w:lang w:val="pt-PT"/>
        </w:rPr>
      </w:pPr>
    </w:p>
    <w:sectPr w:rsidR="00E26E0A" w:rsidRPr="00D01277" w:rsidSect="00AE68CF">
      <w:headerReference w:type="default" r:id="rId42"/>
      <w:footerReference w:type="even" r:id="rId43"/>
      <w:pgSz w:w="11899" w:h="16838" w:code="9"/>
      <w:pgMar w:top="2268" w:right="1701" w:bottom="1134" w:left="1701"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Uliassi, Elisa" w:date="2024-11-23T12:27:00Z" w:initials="EU">
    <w:p w14:paraId="22112C49" w14:textId="77777777" w:rsidR="008E46EB" w:rsidRDefault="008E46EB" w:rsidP="008E46EB">
      <w:r>
        <w:rPr>
          <w:rStyle w:val="CommentReference"/>
        </w:rPr>
        <w:annotationRef/>
      </w:r>
      <w:r>
        <w:rPr>
          <w:color w:val="000000"/>
          <w:sz w:val="20"/>
          <w:szCs w:val="20"/>
        </w:rPr>
        <w:t>Theano sent me this:</w:t>
      </w:r>
    </w:p>
    <w:p w14:paraId="07DCC264" w14:textId="77777777" w:rsidR="008E46EB" w:rsidRDefault="008E46EB" w:rsidP="008E46EB">
      <w:r>
        <w:rPr>
          <w:color w:val="006699"/>
          <w:sz w:val="20"/>
          <w:szCs w:val="20"/>
        </w:rPr>
        <w:t>Development of NMT-A004-loaded biodegradable nanocarriers</w:t>
      </w:r>
    </w:p>
    <w:p w14:paraId="3B1A2FF3" w14:textId="77777777" w:rsidR="008E46EB" w:rsidRPr="00CF0E0C" w:rsidRDefault="008E46EB" w:rsidP="008E46EB">
      <w:pPr>
        <w:rPr>
          <w:lang w:val="pt-PT"/>
        </w:rPr>
      </w:pPr>
      <w:r w:rsidRPr="00CF0E0C">
        <w:rPr>
          <w:color w:val="000000"/>
          <w:sz w:val="20"/>
          <w:szCs w:val="20"/>
          <w:u w:val="single"/>
          <w:lang w:val="pt-PT"/>
        </w:rPr>
        <w:t>Fotopoulou T.,</w:t>
      </w:r>
      <w:r w:rsidRPr="00CF0E0C">
        <w:rPr>
          <w:color w:val="000000"/>
          <w:sz w:val="20"/>
          <w:szCs w:val="20"/>
          <w:vertAlign w:val="superscript"/>
          <w:lang w:val="pt-PT"/>
        </w:rPr>
        <w:t>a</w:t>
      </w:r>
      <w:r w:rsidRPr="00CF0E0C">
        <w:rPr>
          <w:color w:val="000000"/>
          <w:sz w:val="20"/>
          <w:szCs w:val="20"/>
          <w:lang w:val="pt-PT"/>
        </w:rPr>
        <w:t xml:space="preserve"> Santarem N.,</w:t>
      </w:r>
      <w:r w:rsidRPr="00CF0E0C">
        <w:rPr>
          <w:color w:val="000000"/>
          <w:sz w:val="20"/>
          <w:szCs w:val="20"/>
          <w:vertAlign w:val="superscript"/>
          <w:lang w:val="pt-PT"/>
        </w:rPr>
        <w:t>b</w:t>
      </w:r>
      <w:r w:rsidRPr="00CF0E0C">
        <w:rPr>
          <w:color w:val="000000"/>
          <w:sz w:val="20"/>
          <w:szCs w:val="20"/>
          <w:lang w:val="pt-PT"/>
        </w:rPr>
        <w:t xml:space="preserve"> Cordeiro da Silva A.,</w:t>
      </w:r>
      <w:r w:rsidRPr="00CF0E0C">
        <w:rPr>
          <w:color w:val="000000"/>
          <w:sz w:val="20"/>
          <w:szCs w:val="20"/>
          <w:vertAlign w:val="superscript"/>
          <w:lang w:val="pt-PT"/>
        </w:rPr>
        <w:t>b,c</w:t>
      </w:r>
      <w:r w:rsidRPr="00CF0E0C">
        <w:rPr>
          <w:color w:val="000000"/>
          <w:sz w:val="20"/>
          <w:szCs w:val="20"/>
          <w:lang w:val="pt-PT"/>
        </w:rPr>
        <w:t xml:space="preserve"> Calogeropoulou T.</w:t>
      </w:r>
      <w:r w:rsidRPr="00CF0E0C">
        <w:rPr>
          <w:color w:val="000000"/>
          <w:sz w:val="20"/>
          <w:szCs w:val="20"/>
          <w:vertAlign w:val="superscript"/>
          <w:lang w:val="pt-PT"/>
        </w:rPr>
        <w:t>a</w:t>
      </w:r>
      <w:r w:rsidRPr="00CF0E0C">
        <w:rPr>
          <w:color w:val="000000"/>
          <w:sz w:val="20"/>
          <w:szCs w:val="20"/>
          <w:lang w:val="pt-PT"/>
        </w:rPr>
        <w:t>, Lucio M.</w:t>
      </w:r>
      <w:r w:rsidRPr="00CF0E0C">
        <w:rPr>
          <w:color w:val="000000"/>
          <w:sz w:val="20"/>
          <w:szCs w:val="20"/>
          <w:vertAlign w:val="superscript"/>
          <w:lang w:val="pt-PT"/>
        </w:rPr>
        <w:t>d</w:t>
      </w:r>
      <w:r w:rsidRPr="00CF0E0C">
        <w:rPr>
          <w:color w:val="000000"/>
          <w:sz w:val="20"/>
          <w:szCs w:val="20"/>
          <w:lang w:val="pt-PT"/>
        </w:rPr>
        <w:t xml:space="preserve"> </w:t>
      </w:r>
    </w:p>
    <w:p w14:paraId="76AE4AE6" w14:textId="77777777" w:rsidR="008E46EB" w:rsidRPr="00CF0E0C" w:rsidRDefault="008E46EB" w:rsidP="008E46EB">
      <w:pPr>
        <w:rPr>
          <w:lang w:val="pt-PT"/>
        </w:rPr>
      </w:pPr>
      <w:r w:rsidRPr="00CF0E0C">
        <w:rPr>
          <w:color w:val="000000"/>
          <w:sz w:val="20"/>
          <w:szCs w:val="20"/>
          <w:lang w:val="pt-PT"/>
        </w:rPr>
        <w:t> </w:t>
      </w:r>
    </w:p>
    <w:p w14:paraId="177C60A7" w14:textId="77777777" w:rsidR="008E46EB" w:rsidRPr="00CF0E0C" w:rsidRDefault="008E46EB" w:rsidP="008E46EB">
      <w:pPr>
        <w:rPr>
          <w:lang w:val="pt-PT"/>
        </w:rPr>
      </w:pPr>
      <w:r w:rsidRPr="00CF0E0C">
        <w:rPr>
          <w:color w:val="000000"/>
          <w:sz w:val="20"/>
          <w:szCs w:val="20"/>
          <w:vertAlign w:val="superscript"/>
          <w:lang w:val="pt-PT"/>
        </w:rPr>
        <w:t xml:space="preserve">a </w:t>
      </w:r>
      <w:r w:rsidRPr="00CF0E0C">
        <w:rPr>
          <w:color w:val="000000"/>
          <w:sz w:val="20"/>
          <w:szCs w:val="20"/>
          <w:lang w:val="pt-PT"/>
        </w:rPr>
        <w:t xml:space="preserve">National Hellenic Research Foundation, Institute of Chemical Biology, Greece; </w:t>
      </w:r>
      <w:r w:rsidRPr="00CF0E0C">
        <w:rPr>
          <w:color w:val="000000"/>
          <w:sz w:val="20"/>
          <w:szCs w:val="20"/>
          <w:vertAlign w:val="superscript"/>
          <w:lang w:val="pt-PT"/>
        </w:rPr>
        <w:t>b</w:t>
      </w:r>
      <w:r w:rsidRPr="00CF0E0C">
        <w:rPr>
          <w:color w:val="000000"/>
          <w:sz w:val="20"/>
          <w:szCs w:val="20"/>
          <w:lang w:val="pt-PT"/>
        </w:rPr>
        <w:t xml:space="preserve">i3S–Instituto de Investigação e Inovação em Saúde, Universidade do Porto, Portugal, </w:t>
      </w:r>
      <w:r w:rsidRPr="00CF0E0C">
        <w:rPr>
          <w:color w:val="000000"/>
          <w:sz w:val="20"/>
          <w:szCs w:val="20"/>
          <w:vertAlign w:val="superscript"/>
          <w:lang w:val="pt-PT"/>
        </w:rPr>
        <w:t>c</w:t>
      </w:r>
      <w:r w:rsidRPr="00CF0E0C">
        <w:rPr>
          <w:color w:val="000000"/>
          <w:sz w:val="20"/>
          <w:szCs w:val="20"/>
          <w:lang w:val="pt-PT"/>
        </w:rPr>
        <w:t>Laboratório de Microbiologia, Departamento de Ciências Biológicas, Faculdade de Farmácia, Universidade do Porto, Portugal;</w:t>
      </w:r>
      <w:r w:rsidRPr="00CF0E0C">
        <w:rPr>
          <w:color w:val="000000"/>
          <w:sz w:val="20"/>
          <w:szCs w:val="20"/>
          <w:vertAlign w:val="superscript"/>
          <w:lang w:val="pt-PT"/>
        </w:rPr>
        <w:t xml:space="preserve"> d</w:t>
      </w:r>
      <w:r w:rsidRPr="00CF0E0C">
        <w:rPr>
          <w:color w:val="000000"/>
          <w:sz w:val="20"/>
          <w:szCs w:val="20"/>
          <w:lang w:val="pt-PT"/>
        </w:rPr>
        <w:t>University of Minho, Centro de Física das Universidades do Minho e Porto (CF-UM-UP), Portugal.</w:t>
      </w:r>
    </w:p>
    <w:p w14:paraId="1994AD54" w14:textId="77777777" w:rsidR="008E46EB" w:rsidRDefault="008E46EB" w:rsidP="008E46EB">
      <w:r>
        <w:rPr>
          <w:color w:val="000000"/>
          <w:sz w:val="20"/>
          <w:szCs w:val="20"/>
        </w:rPr>
        <w:t>tfotop@eie.gr</w:t>
      </w:r>
    </w:p>
    <w:p w14:paraId="77CA2E01" w14:textId="77777777" w:rsidR="008E46EB" w:rsidRDefault="008E46EB" w:rsidP="008E46EB">
      <w:r>
        <w:rPr>
          <w:color w:val="000000"/>
          <w:sz w:val="20"/>
          <w:szCs w:val="20"/>
        </w:rPr>
        <w:t> </w:t>
      </w:r>
    </w:p>
    <w:p w14:paraId="2253C8F0" w14:textId="77777777" w:rsidR="008E46EB" w:rsidRDefault="008E46EB" w:rsidP="008E46EB">
      <w:r>
        <w:rPr>
          <w:color w:val="000000"/>
          <w:sz w:val="20"/>
          <w:szCs w:val="20"/>
        </w:rPr>
        <w:t xml:space="preserve">Neglected infectious diseases (NIDs) caused by protozoan parasites belonging to the genera Leishmania and Trypanosoma have high mortality and morbidity rates, affecting impoverished populations in the developing world [1]. Current therapies can have issues such as toxicity or teratogenicity, while clinical resistance is on the rise. Thus, the discovery of new, safer and inexpensive drugs for NIDs is an ongoing challenge. </w:t>
      </w:r>
    </w:p>
    <w:p w14:paraId="03505A4F" w14:textId="77777777" w:rsidR="008E46EB" w:rsidRDefault="008E46EB" w:rsidP="008E46EB">
      <w:r>
        <w:rPr>
          <w:color w:val="000000"/>
          <w:sz w:val="20"/>
          <w:szCs w:val="20"/>
        </w:rPr>
        <w:t>Calogeropoulou’s group has pioneered the development of improved ether phospholipid derivatives, possessing enhanced antileishmanial and/or antitrypanosomal activity and reduced toxicity. In particular, an alkyl phosphocholine-dinitroaniline hybrid NMT-A004 [2] exhibited a broad spectrum antiparasitic activity against Leishmania intracellular amastigotes, T. brucei trypomastigotes blood form and T. cruzi Y strain epimastigotes. However, its SNAP-PK evaluation showed reduced oral bioavailability. To address this issue we developed and characterized biodegradable nanostructured vectors that increase its half-life.</w:t>
      </w:r>
    </w:p>
    <w:p w14:paraId="3CA5483D" w14:textId="77777777" w:rsidR="008E46EB" w:rsidRDefault="008E46EB" w:rsidP="008E46EB"/>
    <w:p w14:paraId="2BD12734" w14:textId="77777777" w:rsidR="008E46EB" w:rsidRDefault="008E46EB" w:rsidP="008E46EB">
      <w:r>
        <w:rPr>
          <w:color w:val="000000"/>
          <w:sz w:val="20"/>
          <w:szCs w:val="20"/>
        </w:rPr>
        <w:t>The in silico studies showed the lipophilic character of the compound giving insights about the formulation design challenges. Three types of unloaded and NMT-A004-loaded nanocarriers were produced: A) Lipid cubosomes, B) Polymeric cubosomes and C) Nanostructured Lipid Carriers (NLCs) (Figure 1). The encapsulation of NMT-A004 was performed in three concentrations (10, 100 and 1000 μM) by incubation or direct mixing methods and the corresponding encapsulation efficiency (EE%) and drug loading (DL%) were determined by the developed validated quantification method.</w:t>
      </w:r>
    </w:p>
    <w:p w14:paraId="11D9B49C" w14:textId="77777777" w:rsidR="008E46EB" w:rsidRDefault="008E46EB" w:rsidP="008E46EB">
      <w:r>
        <w:rPr>
          <w:color w:val="000000"/>
          <w:sz w:val="20"/>
          <w:szCs w:val="20"/>
        </w:rPr>
        <w:t xml:space="preserve">Thus, 15 successful formulations were produced and characterized in terms of mean particle size, polydispersity index (PDI), surface charge (zeta potential) and colloidal-stability (4 weeks). The negative charge polymeric cubosomes seem more stable than the positive charge lipidic ones despite their bigger sizes. Moreover, the negative charge NLCs were also stable with very small sizes but higher PDI. Finally, all the formulations present EE% close to 100% and in terms of drug loading, lipid cubosomes had the higher drug content (&gt;15 % for 1000 μM of NMT-A004). The in vitro release studies are in progress. </w:t>
      </w:r>
    </w:p>
    <w:p w14:paraId="67F2796B" w14:textId="77777777" w:rsidR="008E46EB" w:rsidRDefault="008E46EB" w:rsidP="008E46EB">
      <w:r>
        <w:rPr>
          <w:color w:val="000000"/>
          <w:sz w:val="20"/>
          <w:szCs w:val="20"/>
        </w:rPr>
        <w:t> </w:t>
      </w:r>
    </w:p>
    <w:p w14:paraId="5C28F947" w14:textId="77777777" w:rsidR="008E46EB" w:rsidRDefault="008E46EB" w:rsidP="008E46EB">
      <w:r>
        <w:rPr>
          <w:color w:val="000000"/>
          <w:sz w:val="20"/>
          <w:szCs w:val="20"/>
        </w:rPr>
        <w:t>References</w:t>
      </w:r>
    </w:p>
    <w:p w14:paraId="2AEFF8DA" w14:textId="77777777" w:rsidR="008E46EB" w:rsidRDefault="008E46EB" w:rsidP="008E46EB">
      <w:r>
        <w:rPr>
          <w:color w:val="000000"/>
          <w:sz w:val="20"/>
          <w:szCs w:val="20"/>
        </w:rPr>
        <w:t>[1] Global report on neglected tropical diseases 2023, WHO report (2023), https://www.who.int/publications/i/item/9789240067295</w:t>
      </w:r>
    </w:p>
    <w:p w14:paraId="532A97CA" w14:textId="77777777" w:rsidR="008E46EB" w:rsidRDefault="008E46EB" w:rsidP="008E46EB">
      <w:r>
        <w:rPr>
          <w:color w:val="000000"/>
          <w:sz w:val="20"/>
          <w:szCs w:val="20"/>
        </w:rPr>
        <w:t>[2] M. Roussaki, G. E. Magoulas, T. Fotopoulou, N. Santarem, E. Barrias, I. Pöhner, S. Luelmo, P. Afroudakis, K. Georgikopoulou, P. T. Nevado, J. Eick, E. Bifeld, M. J. Corral, M. D. Jim´enez-Ant´on, B. Ellinger, M. Kuzikov, I. Fragiadaki, E. Scoulica, S. Gul, J. Clos, K. C. Prousis, J. J. Torrado, José M. Alunda, R. C. Wade, W. de Souza, A. Cordeiro da Silva, T. Calogeropoulou (2023), Design, synthesis and biological evaluation of antiparasitic dinitroaniline-ether phospholipid hybrids. Bioorganic Chemistry, 138, 106615</w:t>
      </w:r>
    </w:p>
    <w:p w14:paraId="240DFCFF" w14:textId="77777777" w:rsidR="008E46EB" w:rsidRDefault="008E46EB" w:rsidP="008E46EB">
      <w:r>
        <w:rPr>
          <w:color w:val="000000"/>
          <w:sz w:val="20"/>
          <w:szCs w:val="20"/>
          <w:highlight w:val="white"/>
        </w:rPr>
        <w:t> </w:t>
      </w:r>
    </w:p>
    <w:p w14:paraId="47AF8998" w14:textId="77777777" w:rsidR="008E46EB" w:rsidRDefault="008E46EB" w:rsidP="008E46EB">
      <w:r>
        <w:rPr>
          <w:color w:val="000000"/>
          <w:sz w:val="20"/>
          <w:szCs w:val="20"/>
          <w:highlight w:val="white"/>
        </w:rPr>
        <w:t>Acknowledgment</w:t>
      </w:r>
    </w:p>
    <w:p w14:paraId="343E6695" w14:textId="77777777" w:rsidR="008E46EB" w:rsidRDefault="008E46EB" w:rsidP="008E46EB">
      <w:r>
        <w:rPr>
          <w:color w:val="000000"/>
          <w:sz w:val="20"/>
          <w:szCs w:val="20"/>
          <w:highlight w:val="white"/>
        </w:rPr>
        <w:t>This work was supported by the COST Action CA21111 "OneHealthdrugs: One Health drugs against parasitic vector borne diseases in Europe and beyond".</w:t>
      </w:r>
    </w:p>
    <w:p w14:paraId="133B4ED9" w14:textId="77777777" w:rsidR="008E46EB" w:rsidRDefault="008E46EB" w:rsidP="008E46EB"/>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33B4E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88DE9E1" w16cex:dateUtc="2024-11-23T1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33B4ED9" w16cid:durableId="488DE9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228F3" w14:textId="77777777" w:rsidR="00F46AC0" w:rsidRDefault="00F46AC0">
      <w:r>
        <w:separator/>
      </w:r>
    </w:p>
  </w:endnote>
  <w:endnote w:type="continuationSeparator" w:id="0">
    <w:p w14:paraId="029D75C6" w14:textId="77777777" w:rsidR="00F46AC0" w:rsidRDefault="00F46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modern"/>
    <w:pitch w:val="fixed"/>
    <w:sig w:usb0="E10002FF" w:usb1="4000F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C132F" w14:textId="77777777" w:rsidR="0039084A" w:rsidRDefault="003908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98AFF8" w14:textId="77777777" w:rsidR="0039084A" w:rsidRDefault="0039084A">
    <w:pPr>
      <w:pStyle w:val="Footer"/>
    </w:pPr>
  </w:p>
  <w:p w14:paraId="0CB7C4C5" w14:textId="77777777" w:rsidR="000D36D7" w:rsidRDefault="000D36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040E56" w14:textId="77777777" w:rsidR="00F46AC0" w:rsidRDefault="00F46AC0">
      <w:r>
        <w:separator/>
      </w:r>
    </w:p>
  </w:footnote>
  <w:footnote w:type="continuationSeparator" w:id="0">
    <w:p w14:paraId="1F3A2C28" w14:textId="77777777" w:rsidR="00F46AC0" w:rsidRDefault="00F46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576D5" w14:textId="225ADAFD" w:rsidR="007C3A47" w:rsidRDefault="00AB4B70" w:rsidP="007C3A47">
    <w:pPr>
      <w:pStyle w:val="Header"/>
      <w:tabs>
        <w:tab w:val="clear" w:pos="4536"/>
        <w:tab w:val="clear" w:pos="9072"/>
        <w:tab w:val="right" w:pos="8497"/>
      </w:tabs>
    </w:pPr>
    <w:r>
      <w:rPr>
        <w:rFonts w:ascii="Cambria" w:hAnsi="Cambria" w:cs="Calibri"/>
        <w:noProof/>
        <w:spacing w:val="60"/>
        <w:kern w:val="1"/>
        <w:sz w:val="18"/>
        <w:szCs w:val="18"/>
      </w:rPr>
      <w:drawing>
        <wp:anchor distT="0" distB="0" distL="114300" distR="114300" simplePos="0" relativeHeight="251659776" behindDoc="0" locked="0" layoutInCell="1" allowOverlap="1" wp14:anchorId="2D19E89B" wp14:editId="5FD2502E">
          <wp:simplePos x="0" y="0"/>
          <wp:positionH relativeFrom="column">
            <wp:posOffset>1335405</wp:posOffset>
          </wp:positionH>
          <wp:positionV relativeFrom="paragraph">
            <wp:posOffset>-60960</wp:posOffset>
          </wp:positionV>
          <wp:extent cx="2583180" cy="381000"/>
          <wp:effectExtent l="0" t="0" r="0" b="0"/>
          <wp:wrapTopAndBottom/>
          <wp:docPr id="1" name="Immagine 636731017" descr="Immagine che contiene testo, Carattere, schermata, log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36731017" descr="Immagine che contiene testo, Carattere, schermata, logo&#10;&#10;Descrizione generata automatica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318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A47">
      <w:tab/>
    </w:r>
  </w:p>
  <w:p w14:paraId="65FC9FEB" w14:textId="0FD019D2" w:rsidR="00D31D58" w:rsidRPr="00C5016A" w:rsidRDefault="00D31D58" w:rsidP="00D31D58">
    <w:pPr>
      <w:jc w:val="center"/>
      <w:rPr>
        <w:rFonts w:ascii="Cambria" w:hAnsi="Cambria" w:cs="Calibri"/>
        <w:sz w:val="18"/>
        <w:szCs w:val="18"/>
        <w:lang w:val="en-GB"/>
      </w:rPr>
    </w:pPr>
    <w:r w:rsidRPr="00C5016A">
      <w:rPr>
        <w:rFonts w:ascii="Cambria" w:hAnsi="Cambria" w:cs="Calibri"/>
        <w:sz w:val="18"/>
        <w:szCs w:val="18"/>
        <w:lang w:val="en-GB"/>
      </w:rPr>
      <w:t>One Health drugs against parasitic vector borne diseases in Europe and beyond</w:t>
    </w:r>
  </w:p>
  <w:p w14:paraId="278FF2B5" w14:textId="14E2C094" w:rsidR="00D31D58" w:rsidRDefault="00D31D58" w:rsidP="00D31D58">
    <w:pPr>
      <w:jc w:val="center"/>
      <w:rPr>
        <w:rFonts w:ascii="Cambria" w:hAnsi="Cambria" w:cs="Calibri"/>
        <w:b/>
        <w:bCs/>
        <w:sz w:val="18"/>
        <w:szCs w:val="18"/>
      </w:rPr>
    </w:pPr>
    <w:r>
      <w:rPr>
        <w:rFonts w:ascii="Cambria" w:hAnsi="Cambria" w:cs="Calibri"/>
        <w:b/>
        <w:bCs/>
        <w:sz w:val="18"/>
        <w:szCs w:val="18"/>
      </w:rPr>
      <w:t>OneHealth</w:t>
    </w:r>
    <w:r>
      <w:rPr>
        <w:rFonts w:ascii="Cambria" w:hAnsi="Cambria" w:cs="Calibri"/>
        <w:b/>
        <w:bCs/>
        <w:i/>
        <w:iCs/>
        <w:sz w:val="18"/>
        <w:szCs w:val="18"/>
      </w:rPr>
      <w:t>drugs</w:t>
    </w:r>
    <w:r w:rsidR="00AB4B70">
      <w:rPr>
        <w:noProof/>
      </w:rPr>
      <mc:AlternateContent>
        <mc:Choice Requires="wps">
          <w:drawing>
            <wp:anchor distT="4294967295" distB="4294967295" distL="114300" distR="114300" simplePos="0" relativeHeight="251657728" behindDoc="1" locked="0" layoutInCell="1" allowOverlap="1" wp14:anchorId="73D34ED4" wp14:editId="0C84062B">
              <wp:simplePos x="0" y="0"/>
              <wp:positionH relativeFrom="column">
                <wp:posOffset>-685800</wp:posOffset>
              </wp:positionH>
              <wp:positionV relativeFrom="paragraph">
                <wp:posOffset>225424</wp:posOffset>
              </wp:positionV>
              <wp:extent cx="6972300" cy="0"/>
              <wp:effectExtent l="0" t="0" r="0" b="0"/>
              <wp:wrapNone/>
              <wp:docPr id="12952449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7230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0C839D6" id="Straight Connector 1" o:spid="_x0000_s1026" style="position:absolute;z-index:-2516587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4pt,17.75pt" to="4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" strokeweight=".26mm">
              <v:stroke joinstyle="miter"/>
              <o:lock v:ext="edit" shapetype="f"/>
            </v:line>
          </w:pict>
        </mc:Fallback>
      </mc:AlternateContent>
    </w:r>
    <w:r>
      <w:rPr>
        <w:rFonts w:ascii="Cambria" w:hAnsi="Cambria" w:cs="Calibri"/>
        <w:b/>
        <w:bCs/>
        <w:i/>
        <w:iCs/>
        <w:sz w:val="18"/>
        <w:szCs w:val="18"/>
      </w:rPr>
      <w:tab/>
    </w:r>
    <w:r>
      <w:rPr>
        <w:rFonts w:ascii="Cambria" w:hAnsi="Cambria" w:cs="Calibri"/>
        <w:b/>
        <w:bCs/>
        <w:i/>
        <w:iCs/>
        <w:sz w:val="18"/>
        <w:szCs w:val="18"/>
      </w:rPr>
      <w:tab/>
    </w:r>
    <w:r>
      <w:rPr>
        <w:rFonts w:ascii="Cambria" w:hAnsi="Cambria" w:cs="Calibri"/>
        <w:b/>
        <w:bCs/>
        <w:i/>
        <w:iCs/>
        <w:sz w:val="18"/>
        <w:szCs w:val="18"/>
      </w:rPr>
      <w:tab/>
    </w:r>
    <w:r>
      <w:rPr>
        <w:rFonts w:ascii="Cambria" w:hAnsi="Cambria" w:cs="Calibri"/>
        <w:b/>
        <w:bCs/>
        <w:i/>
        <w:iCs/>
        <w:sz w:val="18"/>
        <w:szCs w:val="18"/>
      </w:rPr>
      <w:tab/>
    </w:r>
    <w:r>
      <w:rPr>
        <w:rFonts w:ascii="Cambria" w:hAnsi="Cambria" w:cs="Calibri"/>
        <w:b/>
        <w:bCs/>
        <w:i/>
        <w:iCs/>
        <w:sz w:val="18"/>
        <w:szCs w:val="18"/>
      </w:rPr>
      <w:tab/>
    </w:r>
    <w:r>
      <w:rPr>
        <w:rFonts w:ascii="Cambria" w:hAnsi="Cambria" w:cs="Calibri"/>
        <w:b/>
        <w:bCs/>
        <w:sz w:val="18"/>
        <w:szCs w:val="18"/>
      </w:rPr>
      <w:t>Cost Action CA21111</w:t>
    </w:r>
  </w:p>
  <w:p w14:paraId="585ED8A7" w14:textId="5A02AF7A" w:rsidR="007C3A47" w:rsidRDefault="0018503B">
    <w:pPr>
      <w:pStyle w:val="Header"/>
    </w:pPr>
    <w:r w:rsidRPr="00E55CF0">
      <w:rPr>
        <w:rFonts w:ascii="Calibri" w:eastAsia="Calibri" w:hAnsi="Calibri" w:cs="Calibri"/>
        <w:noProof/>
        <w:lang w:val="en-GB"/>
      </w:rPr>
      <w:drawing>
        <wp:anchor distT="0" distB="0" distL="114300" distR="114300" simplePos="0" relativeHeight="251658752" behindDoc="1" locked="0" layoutInCell="1" allowOverlap="1" wp14:anchorId="50F596FF" wp14:editId="3CECA12F">
          <wp:simplePos x="0" y="0"/>
          <wp:positionH relativeFrom="column">
            <wp:posOffset>1639570</wp:posOffset>
          </wp:positionH>
          <wp:positionV relativeFrom="paragraph">
            <wp:posOffset>189230</wp:posOffset>
          </wp:positionV>
          <wp:extent cx="2317750" cy="1402080"/>
          <wp:effectExtent l="0" t="0" r="6350" b="0"/>
          <wp:wrapTopAndBottom/>
          <wp:docPr id="1428355270" name="Resim 1" descr="A group of people in a 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55270" name="Resim 1" descr="A group of people in a lab&#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317750" cy="1402080"/>
                  </a:xfrm>
                  <a:prstGeom prst="rect">
                    <a:avLst/>
                  </a:prstGeom>
                </pic:spPr>
              </pic:pic>
            </a:graphicData>
          </a:graphic>
          <wp14:sizeRelH relativeFrom="page">
            <wp14:pctWidth>0</wp14:pctWidth>
          </wp14:sizeRelH>
          <wp14:sizeRelV relativeFrom="page">
            <wp14:pctHeight>0</wp14:pctHeight>
          </wp14:sizeRelV>
        </wp:anchor>
      </w:drawing>
    </w:r>
  </w:p>
  <w:p w14:paraId="109E36B4" w14:textId="77777777" w:rsidR="000D36D7" w:rsidRDefault="000D36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206B3"/>
    <w:multiLevelType w:val="hybridMultilevel"/>
    <w:tmpl w:val="649871E6"/>
    <w:lvl w:ilvl="0" w:tplc="E45AFBBC">
      <w:start w:val="1"/>
      <w:numFmt w:val="decimal"/>
      <w:lvlText w:val="[%1]"/>
      <w:lvlJc w:val="left"/>
      <w:pPr>
        <w:ind w:left="119" w:hanging="294"/>
      </w:pPr>
      <w:rPr>
        <w:rFonts w:ascii="Calibri" w:eastAsia="Calibri" w:hAnsi="Calibri" w:cs="Calibri" w:hint="default"/>
        <w:b w:val="0"/>
        <w:bCs w:val="0"/>
        <w:i w:val="0"/>
        <w:iCs w:val="0"/>
        <w:spacing w:val="-3"/>
        <w:w w:val="93"/>
        <w:sz w:val="22"/>
        <w:szCs w:val="22"/>
        <w:lang w:val="en-US" w:eastAsia="en-US" w:bidi="ar-SA"/>
      </w:rPr>
    </w:lvl>
    <w:lvl w:ilvl="1" w:tplc="EF0093EC">
      <w:numFmt w:val="bullet"/>
      <w:lvlText w:val="•"/>
      <w:lvlJc w:val="left"/>
      <w:pPr>
        <w:ind w:left="981" w:hanging="294"/>
      </w:pPr>
      <w:rPr>
        <w:rFonts w:hint="default"/>
        <w:lang w:val="en-US" w:eastAsia="en-US" w:bidi="ar-SA"/>
      </w:rPr>
    </w:lvl>
    <w:lvl w:ilvl="2" w:tplc="3B4E9E78">
      <w:numFmt w:val="bullet"/>
      <w:lvlText w:val="•"/>
      <w:lvlJc w:val="left"/>
      <w:pPr>
        <w:ind w:left="1843" w:hanging="294"/>
      </w:pPr>
      <w:rPr>
        <w:rFonts w:hint="default"/>
        <w:lang w:val="en-US" w:eastAsia="en-US" w:bidi="ar-SA"/>
      </w:rPr>
    </w:lvl>
    <w:lvl w:ilvl="3" w:tplc="0F1CFD96">
      <w:numFmt w:val="bullet"/>
      <w:lvlText w:val="•"/>
      <w:lvlJc w:val="left"/>
      <w:pPr>
        <w:ind w:left="2705" w:hanging="294"/>
      </w:pPr>
      <w:rPr>
        <w:rFonts w:hint="default"/>
        <w:lang w:val="en-US" w:eastAsia="en-US" w:bidi="ar-SA"/>
      </w:rPr>
    </w:lvl>
    <w:lvl w:ilvl="4" w:tplc="F9ACF838">
      <w:numFmt w:val="bullet"/>
      <w:lvlText w:val="•"/>
      <w:lvlJc w:val="left"/>
      <w:pPr>
        <w:ind w:left="3567" w:hanging="294"/>
      </w:pPr>
      <w:rPr>
        <w:rFonts w:hint="default"/>
        <w:lang w:val="en-US" w:eastAsia="en-US" w:bidi="ar-SA"/>
      </w:rPr>
    </w:lvl>
    <w:lvl w:ilvl="5" w:tplc="15B8A784">
      <w:numFmt w:val="bullet"/>
      <w:lvlText w:val="•"/>
      <w:lvlJc w:val="left"/>
      <w:pPr>
        <w:ind w:left="4429" w:hanging="294"/>
      </w:pPr>
      <w:rPr>
        <w:rFonts w:hint="default"/>
        <w:lang w:val="en-US" w:eastAsia="en-US" w:bidi="ar-SA"/>
      </w:rPr>
    </w:lvl>
    <w:lvl w:ilvl="6" w:tplc="F6305048">
      <w:numFmt w:val="bullet"/>
      <w:lvlText w:val="•"/>
      <w:lvlJc w:val="left"/>
      <w:pPr>
        <w:ind w:left="5291" w:hanging="294"/>
      </w:pPr>
      <w:rPr>
        <w:rFonts w:hint="default"/>
        <w:lang w:val="en-US" w:eastAsia="en-US" w:bidi="ar-SA"/>
      </w:rPr>
    </w:lvl>
    <w:lvl w:ilvl="7" w:tplc="529ECDAE">
      <w:numFmt w:val="bullet"/>
      <w:lvlText w:val="•"/>
      <w:lvlJc w:val="left"/>
      <w:pPr>
        <w:ind w:left="6153" w:hanging="294"/>
      </w:pPr>
      <w:rPr>
        <w:rFonts w:hint="default"/>
        <w:lang w:val="en-US" w:eastAsia="en-US" w:bidi="ar-SA"/>
      </w:rPr>
    </w:lvl>
    <w:lvl w:ilvl="8" w:tplc="11B00286">
      <w:numFmt w:val="bullet"/>
      <w:lvlText w:val="•"/>
      <w:lvlJc w:val="left"/>
      <w:pPr>
        <w:ind w:left="7015" w:hanging="294"/>
      </w:pPr>
      <w:rPr>
        <w:rFonts w:hint="default"/>
        <w:lang w:val="en-US" w:eastAsia="en-US" w:bidi="ar-SA"/>
      </w:rPr>
    </w:lvl>
  </w:abstractNum>
  <w:abstractNum w:abstractNumId="1" w15:restartNumberingAfterBreak="0">
    <w:nsid w:val="21DB186F"/>
    <w:multiLevelType w:val="hybridMultilevel"/>
    <w:tmpl w:val="2EC0F150"/>
    <w:lvl w:ilvl="0" w:tplc="0CA6A2EA">
      <w:start w:val="1"/>
      <w:numFmt w:val="decimal"/>
      <w:lvlText w:val="[%1]"/>
      <w:lvlJc w:val="left"/>
      <w:pPr>
        <w:ind w:left="119" w:hanging="294"/>
      </w:pPr>
      <w:rPr>
        <w:rFonts w:ascii="Calibri" w:eastAsia="Calibri" w:hAnsi="Calibri" w:cs="Calibri" w:hint="default"/>
        <w:b w:val="0"/>
        <w:bCs w:val="0"/>
        <w:i w:val="0"/>
        <w:iCs w:val="0"/>
        <w:spacing w:val="-3"/>
        <w:w w:val="93"/>
        <w:sz w:val="22"/>
        <w:szCs w:val="22"/>
        <w:lang w:val="en-US" w:eastAsia="en-US" w:bidi="ar-SA"/>
      </w:rPr>
    </w:lvl>
    <w:lvl w:ilvl="1" w:tplc="532AD128">
      <w:numFmt w:val="bullet"/>
      <w:lvlText w:val="•"/>
      <w:lvlJc w:val="left"/>
      <w:pPr>
        <w:ind w:left="981" w:hanging="294"/>
      </w:pPr>
      <w:rPr>
        <w:rFonts w:hint="default"/>
        <w:lang w:val="en-US" w:eastAsia="en-US" w:bidi="ar-SA"/>
      </w:rPr>
    </w:lvl>
    <w:lvl w:ilvl="2" w:tplc="9DC2AB90">
      <w:numFmt w:val="bullet"/>
      <w:lvlText w:val="•"/>
      <w:lvlJc w:val="left"/>
      <w:pPr>
        <w:ind w:left="1843" w:hanging="294"/>
      </w:pPr>
      <w:rPr>
        <w:rFonts w:hint="default"/>
        <w:lang w:val="en-US" w:eastAsia="en-US" w:bidi="ar-SA"/>
      </w:rPr>
    </w:lvl>
    <w:lvl w:ilvl="3" w:tplc="3DCC3A22">
      <w:numFmt w:val="bullet"/>
      <w:lvlText w:val="•"/>
      <w:lvlJc w:val="left"/>
      <w:pPr>
        <w:ind w:left="2705" w:hanging="294"/>
      </w:pPr>
      <w:rPr>
        <w:rFonts w:hint="default"/>
        <w:lang w:val="en-US" w:eastAsia="en-US" w:bidi="ar-SA"/>
      </w:rPr>
    </w:lvl>
    <w:lvl w:ilvl="4" w:tplc="7CFE7B12">
      <w:numFmt w:val="bullet"/>
      <w:lvlText w:val="•"/>
      <w:lvlJc w:val="left"/>
      <w:pPr>
        <w:ind w:left="3567" w:hanging="294"/>
      </w:pPr>
      <w:rPr>
        <w:rFonts w:hint="default"/>
        <w:lang w:val="en-US" w:eastAsia="en-US" w:bidi="ar-SA"/>
      </w:rPr>
    </w:lvl>
    <w:lvl w:ilvl="5" w:tplc="F8685524">
      <w:numFmt w:val="bullet"/>
      <w:lvlText w:val="•"/>
      <w:lvlJc w:val="left"/>
      <w:pPr>
        <w:ind w:left="4429" w:hanging="294"/>
      </w:pPr>
      <w:rPr>
        <w:rFonts w:hint="default"/>
        <w:lang w:val="en-US" w:eastAsia="en-US" w:bidi="ar-SA"/>
      </w:rPr>
    </w:lvl>
    <w:lvl w:ilvl="6" w:tplc="DCFE8CFC">
      <w:numFmt w:val="bullet"/>
      <w:lvlText w:val="•"/>
      <w:lvlJc w:val="left"/>
      <w:pPr>
        <w:ind w:left="5291" w:hanging="294"/>
      </w:pPr>
      <w:rPr>
        <w:rFonts w:hint="default"/>
        <w:lang w:val="en-US" w:eastAsia="en-US" w:bidi="ar-SA"/>
      </w:rPr>
    </w:lvl>
    <w:lvl w:ilvl="7" w:tplc="257A0A26">
      <w:numFmt w:val="bullet"/>
      <w:lvlText w:val="•"/>
      <w:lvlJc w:val="left"/>
      <w:pPr>
        <w:ind w:left="6153" w:hanging="294"/>
      </w:pPr>
      <w:rPr>
        <w:rFonts w:hint="default"/>
        <w:lang w:val="en-US" w:eastAsia="en-US" w:bidi="ar-SA"/>
      </w:rPr>
    </w:lvl>
    <w:lvl w:ilvl="8" w:tplc="B37072FE">
      <w:numFmt w:val="bullet"/>
      <w:lvlText w:val="•"/>
      <w:lvlJc w:val="left"/>
      <w:pPr>
        <w:ind w:left="7015" w:hanging="294"/>
      </w:pPr>
      <w:rPr>
        <w:rFonts w:hint="default"/>
        <w:lang w:val="en-US" w:eastAsia="en-US" w:bidi="ar-SA"/>
      </w:rPr>
    </w:lvl>
  </w:abstractNum>
  <w:abstractNum w:abstractNumId="2" w15:restartNumberingAfterBreak="0">
    <w:nsid w:val="2F2C7495"/>
    <w:multiLevelType w:val="hybridMultilevel"/>
    <w:tmpl w:val="B1DA85BA"/>
    <w:lvl w:ilvl="0" w:tplc="A0346A42">
      <w:start w:val="1"/>
      <w:numFmt w:val="decimal"/>
      <w:lvlText w:val="[%1]"/>
      <w:lvlJc w:val="left"/>
      <w:pPr>
        <w:ind w:left="368" w:hanging="236"/>
      </w:pPr>
      <w:rPr>
        <w:rFonts w:ascii="Bahnschrift" w:eastAsia="Bahnschrift" w:hAnsi="Bahnschrift" w:cs="Bahnschrift" w:hint="default"/>
        <w:w w:val="99"/>
        <w:sz w:val="20"/>
        <w:szCs w:val="20"/>
        <w:lang w:val="en-US" w:eastAsia="en-US" w:bidi="ar-SA"/>
      </w:rPr>
    </w:lvl>
    <w:lvl w:ilvl="1" w:tplc="CAE2D066">
      <w:numFmt w:val="bullet"/>
      <w:lvlText w:val="•"/>
      <w:lvlJc w:val="left"/>
      <w:pPr>
        <w:ind w:left="1314" w:hanging="236"/>
      </w:pPr>
      <w:rPr>
        <w:rFonts w:hint="default"/>
        <w:lang w:val="en-US" w:eastAsia="en-US" w:bidi="ar-SA"/>
      </w:rPr>
    </w:lvl>
    <w:lvl w:ilvl="2" w:tplc="970292D2">
      <w:numFmt w:val="bullet"/>
      <w:lvlText w:val="•"/>
      <w:lvlJc w:val="left"/>
      <w:pPr>
        <w:ind w:left="2269" w:hanging="236"/>
      </w:pPr>
      <w:rPr>
        <w:rFonts w:hint="default"/>
        <w:lang w:val="en-US" w:eastAsia="en-US" w:bidi="ar-SA"/>
      </w:rPr>
    </w:lvl>
    <w:lvl w:ilvl="3" w:tplc="28A45E10">
      <w:numFmt w:val="bullet"/>
      <w:lvlText w:val="•"/>
      <w:lvlJc w:val="left"/>
      <w:pPr>
        <w:ind w:left="3223" w:hanging="236"/>
      </w:pPr>
      <w:rPr>
        <w:rFonts w:hint="default"/>
        <w:lang w:val="en-US" w:eastAsia="en-US" w:bidi="ar-SA"/>
      </w:rPr>
    </w:lvl>
    <w:lvl w:ilvl="4" w:tplc="2A22CF08">
      <w:numFmt w:val="bullet"/>
      <w:lvlText w:val="•"/>
      <w:lvlJc w:val="left"/>
      <w:pPr>
        <w:ind w:left="4178" w:hanging="236"/>
      </w:pPr>
      <w:rPr>
        <w:rFonts w:hint="default"/>
        <w:lang w:val="en-US" w:eastAsia="en-US" w:bidi="ar-SA"/>
      </w:rPr>
    </w:lvl>
    <w:lvl w:ilvl="5" w:tplc="FFEEDB34">
      <w:numFmt w:val="bullet"/>
      <w:lvlText w:val="•"/>
      <w:lvlJc w:val="left"/>
      <w:pPr>
        <w:ind w:left="5133" w:hanging="236"/>
      </w:pPr>
      <w:rPr>
        <w:rFonts w:hint="default"/>
        <w:lang w:val="en-US" w:eastAsia="en-US" w:bidi="ar-SA"/>
      </w:rPr>
    </w:lvl>
    <w:lvl w:ilvl="6" w:tplc="19043646">
      <w:numFmt w:val="bullet"/>
      <w:lvlText w:val="•"/>
      <w:lvlJc w:val="left"/>
      <w:pPr>
        <w:ind w:left="6087" w:hanging="236"/>
      </w:pPr>
      <w:rPr>
        <w:rFonts w:hint="default"/>
        <w:lang w:val="en-US" w:eastAsia="en-US" w:bidi="ar-SA"/>
      </w:rPr>
    </w:lvl>
    <w:lvl w:ilvl="7" w:tplc="8E5CE8A2">
      <w:numFmt w:val="bullet"/>
      <w:lvlText w:val="•"/>
      <w:lvlJc w:val="left"/>
      <w:pPr>
        <w:ind w:left="7042" w:hanging="236"/>
      </w:pPr>
      <w:rPr>
        <w:rFonts w:hint="default"/>
        <w:lang w:val="en-US" w:eastAsia="en-US" w:bidi="ar-SA"/>
      </w:rPr>
    </w:lvl>
    <w:lvl w:ilvl="8" w:tplc="3976B51A">
      <w:numFmt w:val="bullet"/>
      <w:lvlText w:val="•"/>
      <w:lvlJc w:val="left"/>
      <w:pPr>
        <w:ind w:left="7997" w:hanging="236"/>
      </w:pPr>
      <w:rPr>
        <w:rFonts w:hint="default"/>
        <w:lang w:val="en-US" w:eastAsia="en-US" w:bidi="ar-SA"/>
      </w:rPr>
    </w:lvl>
  </w:abstractNum>
  <w:abstractNum w:abstractNumId="3" w15:restartNumberingAfterBreak="0">
    <w:nsid w:val="707B6EFB"/>
    <w:multiLevelType w:val="hybridMultilevel"/>
    <w:tmpl w:val="E2D6DC7E"/>
    <w:lvl w:ilvl="0" w:tplc="56300018">
      <w:numFmt w:val="bullet"/>
      <w:lvlText w:val=""/>
      <w:lvlJc w:val="left"/>
      <w:pPr>
        <w:tabs>
          <w:tab w:val="num" w:pos="720"/>
        </w:tabs>
        <w:ind w:left="720" w:hanging="360"/>
      </w:pPr>
      <w:rPr>
        <w:rFonts w:ascii="Symbol" w:eastAsia="Times New Roman" w:hAnsi="Symbol" w:hint="default"/>
      </w:rPr>
    </w:lvl>
    <w:lvl w:ilvl="1" w:tplc="FC2CD35C" w:tentative="1">
      <w:start w:val="1"/>
      <w:numFmt w:val="bullet"/>
      <w:lvlText w:val="o"/>
      <w:lvlJc w:val="left"/>
      <w:pPr>
        <w:tabs>
          <w:tab w:val="num" w:pos="1440"/>
        </w:tabs>
        <w:ind w:left="1440" w:hanging="360"/>
      </w:pPr>
      <w:rPr>
        <w:rFonts w:ascii="Courier New" w:hAnsi="Courier New" w:hint="default"/>
      </w:rPr>
    </w:lvl>
    <w:lvl w:ilvl="2" w:tplc="FB6E715E" w:tentative="1">
      <w:start w:val="1"/>
      <w:numFmt w:val="bullet"/>
      <w:lvlText w:val=""/>
      <w:lvlJc w:val="left"/>
      <w:pPr>
        <w:tabs>
          <w:tab w:val="num" w:pos="2160"/>
        </w:tabs>
        <w:ind w:left="2160" w:hanging="360"/>
      </w:pPr>
      <w:rPr>
        <w:rFonts w:ascii="Wingdings" w:hAnsi="Wingdings" w:hint="default"/>
      </w:rPr>
    </w:lvl>
    <w:lvl w:ilvl="3" w:tplc="92C032C4" w:tentative="1">
      <w:start w:val="1"/>
      <w:numFmt w:val="bullet"/>
      <w:lvlText w:val=""/>
      <w:lvlJc w:val="left"/>
      <w:pPr>
        <w:tabs>
          <w:tab w:val="num" w:pos="2880"/>
        </w:tabs>
        <w:ind w:left="2880" w:hanging="360"/>
      </w:pPr>
      <w:rPr>
        <w:rFonts w:ascii="Symbol" w:hAnsi="Symbol" w:hint="default"/>
      </w:rPr>
    </w:lvl>
    <w:lvl w:ilvl="4" w:tplc="D48C82AA" w:tentative="1">
      <w:start w:val="1"/>
      <w:numFmt w:val="bullet"/>
      <w:lvlText w:val="o"/>
      <w:lvlJc w:val="left"/>
      <w:pPr>
        <w:tabs>
          <w:tab w:val="num" w:pos="3600"/>
        </w:tabs>
        <w:ind w:left="3600" w:hanging="360"/>
      </w:pPr>
      <w:rPr>
        <w:rFonts w:ascii="Courier New" w:hAnsi="Courier New" w:hint="default"/>
      </w:rPr>
    </w:lvl>
    <w:lvl w:ilvl="5" w:tplc="1A78AED0" w:tentative="1">
      <w:start w:val="1"/>
      <w:numFmt w:val="bullet"/>
      <w:lvlText w:val=""/>
      <w:lvlJc w:val="left"/>
      <w:pPr>
        <w:tabs>
          <w:tab w:val="num" w:pos="4320"/>
        </w:tabs>
        <w:ind w:left="4320" w:hanging="360"/>
      </w:pPr>
      <w:rPr>
        <w:rFonts w:ascii="Wingdings" w:hAnsi="Wingdings" w:hint="default"/>
      </w:rPr>
    </w:lvl>
    <w:lvl w:ilvl="6" w:tplc="CEE255EE" w:tentative="1">
      <w:start w:val="1"/>
      <w:numFmt w:val="bullet"/>
      <w:lvlText w:val=""/>
      <w:lvlJc w:val="left"/>
      <w:pPr>
        <w:tabs>
          <w:tab w:val="num" w:pos="5040"/>
        </w:tabs>
        <w:ind w:left="5040" w:hanging="360"/>
      </w:pPr>
      <w:rPr>
        <w:rFonts w:ascii="Symbol" w:hAnsi="Symbol" w:hint="default"/>
      </w:rPr>
    </w:lvl>
    <w:lvl w:ilvl="7" w:tplc="164CD78E" w:tentative="1">
      <w:start w:val="1"/>
      <w:numFmt w:val="bullet"/>
      <w:lvlText w:val="o"/>
      <w:lvlJc w:val="left"/>
      <w:pPr>
        <w:tabs>
          <w:tab w:val="num" w:pos="5760"/>
        </w:tabs>
        <w:ind w:left="5760" w:hanging="360"/>
      </w:pPr>
      <w:rPr>
        <w:rFonts w:ascii="Courier New" w:hAnsi="Courier New" w:hint="default"/>
      </w:rPr>
    </w:lvl>
    <w:lvl w:ilvl="8" w:tplc="E7CE7C8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72A6026"/>
    <w:multiLevelType w:val="hybridMultilevel"/>
    <w:tmpl w:val="D278C668"/>
    <w:lvl w:ilvl="0" w:tplc="7188F446">
      <w:start w:val="5"/>
      <w:numFmt w:val="bullet"/>
      <w:lvlText w:val=""/>
      <w:lvlJc w:val="left"/>
      <w:pPr>
        <w:tabs>
          <w:tab w:val="num" w:pos="720"/>
        </w:tabs>
        <w:ind w:left="720" w:hanging="360"/>
      </w:pPr>
      <w:rPr>
        <w:rFonts w:ascii="Wingdings" w:eastAsia="Times New Roman" w:hAnsi="Wingdings" w:hint="default"/>
      </w:rPr>
    </w:lvl>
    <w:lvl w:ilvl="1" w:tplc="A14C6696" w:tentative="1">
      <w:start w:val="1"/>
      <w:numFmt w:val="bullet"/>
      <w:lvlText w:val="o"/>
      <w:lvlJc w:val="left"/>
      <w:pPr>
        <w:tabs>
          <w:tab w:val="num" w:pos="1440"/>
        </w:tabs>
        <w:ind w:left="1440" w:hanging="360"/>
      </w:pPr>
      <w:rPr>
        <w:rFonts w:ascii="Courier New" w:hAnsi="Courier New" w:hint="default"/>
      </w:rPr>
    </w:lvl>
    <w:lvl w:ilvl="2" w:tplc="128246C2" w:tentative="1">
      <w:start w:val="1"/>
      <w:numFmt w:val="bullet"/>
      <w:lvlText w:val=""/>
      <w:lvlJc w:val="left"/>
      <w:pPr>
        <w:tabs>
          <w:tab w:val="num" w:pos="2160"/>
        </w:tabs>
        <w:ind w:left="2160" w:hanging="360"/>
      </w:pPr>
      <w:rPr>
        <w:rFonts w:ascii="Wingdings" w:hAnsi="Wingdings" w:hint="default"/>
      </w:rPr>
    </w:lvl>
    <w:lvl w:ilvl="3" w:tplc="08480676" w:tentative="1">
      <w:start w:val="1"/>
      <w:numFmt w:val="bullet"/>
      <w:lvlText w:val=""/>
      <w:lvlJc w:val="left"/>
      <w:pPr>
        <w:tabs>
          <w:tab w:val="num" w:pos="2880"/>
        </w:tabs>
        <w:ind w:left="2880" w:hanging="360"/>
      </w:pPr>
      <w:rPr>
        <w:rFonts w:ascii="Symbol" w:hAnsi="Symbol" w:hint="default"/>
      </w:rPr>
    </w:lvl>
    <w:lvl w:ilvl="4" w:tplc="5420CE8A" w:tentative="1">
      <w:start w:val="1"/>
      <w:numFmt w:val="bullet"/>
      <w:lvlText w:val="o"/>
      <w:lvlJc w:val="left"/>
      <w:pPr>
        <w:tabs>
          <w:tab w:val="num" w:pos="3600"/>
        </w:tabs>
        <w:ind w:left="3600" w:hanging="360"/>
      </w:pPr>
      <w:rPr>
        <w:rFonts w:ascii="Courier New" w:hAnsi="Courier New" w:hint="default"/>
      </w:rPr>
    </w:lvl>
    <w:lvl w:ilvl="5" w:tplc="1DE2BE8C" w:tentative="1">
      <w:start w:val="1"/>
      <w:numFmt w:val="bullet"/>
      <w:lvlText w:val=""/>
      <w:lvlJc w:val="left"/>
      <w:pPr>
        <w:tabs>
          <w:tab w:val="num" w:pos="4320"/>
        </w:tabs>
        <w:ind w:left="4320" w:hanging="360"/>
      </w:pPr>
      <w:rPr>
        <w:rFonts w:ascii="Wingdings" w:hAnsi="Wingdings" w:hint="default"/>
      </w:rPr>
    </w:lvl>
    <w:lvl w:ilvl="6" w:tplc="9A1CA3DE" w:tentative="1">
      <w:start w:val="1"/>
      <w:numFmt w:val="bullet"/>
      <w:lvlText w:val=""/>
      <w:lvlJc w:val="left"/>
      <w:pPr>
        <w:tabs>
          <w:tab w:val="num" w:pos="5040"/>
        </w:tabs>
        <w:ind w:left="5040" w:hanging="360"/>
      </w:pPr>
      <w:rPr>
        <w:rFonts w:ascii="Symbol" w:hAnsi="Symbol" w:hint="default"/>
      </w:rPr>
    </w:lvl>
    <w:lvl w:ilvl="7" w:tplc="2C8C6E22" w:tentative="1">
      <w:start w:val="1"/>
      <w:numFmt w:val="bullet"/>
      <w:lvlText w:val="o"/>
      <w:lvlJc w:val="left"/>
      <w:pPr>
        <w:tabs>
          <w:tab w:val="num" w:pos="5760"/>
        </w:tabs>
        <w:ind w:left="5760" w:hanging="360"/>
      </w:pPr>
      <w:rPr>
        <w:rFonts w:ascii="Courier New" w:hAnsi="Courier New" w:hint="default"/>
      </w:rPr>
    </w:lvl>
    <w:lvl w:ilvl="8" w:tplc="8D82513C" w:tentative="1">
      <w:start w:val="1"/>
      <w:numFmt w:val="bullet"/>
      <w:lvlText w:val=""/>
      <w:lvlJc w:val="left"/>
      <w:pPr>
        <w:tabs>
          <w:tab w:val="num" w:pos="6480"/>
        </w:tabs>
        <w:ind w:left="6480" w:hanging="360"/>
      </w:pPr>
      <w:rPr>
        <w:rFonts w:ascii="Wingdings" w:hAnsi="Wingdings" w:hint="default"/>
      </w:rPr>
    </w:lvl>
  </w:abstractNum>
  <w:num w:numId="1" w16cid:durableId="1094666526">
    <w:abstractNumId w:val="3"/>
  </w:num>
  <w:num w:numId="2" w16cid:durableId="1593313429">
    <w:abstractNumId w:val="4"/>
  </w:num>
  <w:num w:numId="3" w16cid:durableId="1428186897">
    <w:abstractNumId w:val="2"/>
  </w:num>
  <w:num w:numId="4" w16cid:durableId="200484511">
    <w:abstractNumId w:val="1"/>
  </w:num>
  <w:num w:numId="5" w16cid:durableId="188779128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Uliassi, Elisa">
    <w15:presenceInfo w15:providerId="AD" w15:userId="S::euliassi@ic.ac.uk::39c8bc11-d8aa-467d-aa46-8244f8e57f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3"/>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0NLE0NjQ2MTY3NDFV0lEKTi0uzszPAykwrAUAeO/YDywAAAA="/>
  </w:docVars>
  <w:rsids>
    <w:rsidRoot w:val="00B16BFA"/>
    <w:rsid w:val="00027A38"/>
    <w:rsid w:val="00033175"/>
    <w:rsid w:val="000334F0"/>
    <w:rsid w:val="00072982"/>
    <w:rsid w:val="00080017"/>
    <w:rsid w:val="0009034E"/>
    <w:rsid w:val="000C15E6"/>
    <w:rsid w:val="000D0363"/>
    <w:rsid w:val="000D36D7"/>
    <w:rsid w:val="000D694E"/>
    <w:rsid w:val="000E08B4"/>
    <w:rsid w:val="000F7453"/>
    <w:rsid w:val="00102143"/>
    <w:rsid w:val="001144AA"/>
    <w:rsid w:val="001374DE"/>
    <w:rsid w:val="00142B7D"/>
    <w:rsid w:val="001462DB"/>
    <w:rsid w:val="00153E94"/>
    <w:rsid w:val="00164851"/>
    <w:rsid w:val="00173121"/>
    <w:rsid w:val="0018503B"/>
    <w:rsid w:val="001906BD"/>
    <w:rsid w:val="00197CBA"/>
    <w:rsid w:val="001B038A"/>
    <w:rsid w:val="001C2B5E"/>
    <w:rsid w:val="001C7D75"/>
    <w:rsid w:val="001E73D1"/>
    <w:rsid w:val="001F1E64"/>
    <w:rsid w:val="001F57A6"/>
    <w:rsid w:val="001F76B4"/>
    <w:rsid w:val="00200BF3"/>
    <w:rsid w:val="00213071"/>
    <w:rsid w:val="00221223"/>
    <w:rsid w:val="00224EDF"/>
    <w:rsid w:val="00242EC7"/>
    <w:rsid w:val="002447AD"/>
    <w:rsid w:val="00256364"/>
    <w:rsid w:val="00256501"/>
    <w:rsid w:val="0025676C"/>
    <w:rsid w:val="0026527F"/>
    <w:rsid w:val="00281355"/>
    <w:rsid w:val="00287B1C"/>
    <w:rsid w:val="00291717"/>
    <w:rsid w:val="002A0075"/>
    <w:rsid w:val="002B76D3"/>
    <w:rsid w:val="002D30EA"/>
    <w:rsid w:val="002E2215"/>
    <w:rsid w:val="002F02EC"/>
    <w:rsid w:val="002F36DC"/>
    <w:rsid w:val="00301C30"/>
    <w:rsid w:val="00303D72"/>
    <w:rsid w:val="00305D2A"/>
    <w:rsid w:val="003356C1"/>
    <w:rsid w:val="00354FA3"/>
    <w:rsid w:val="0036605D"/>
    <w:rsid w:val="00373BC4"/>
    <w:rsid w:val="003878FD"/>
    <w:rsid w:val="003905C2"/>
    <w:rsid w:val="0039084A"/>
    <w:rsid w:val="003A7DD4"/>
    <w:rsid w:val="003B0D7D"/>
    <w:rsid w:val="003C16FA"/>
    <w:rsid w:val="003D3A24"/>
    <w:rsid w:val="003E21FB"/>
    <w:rsid w:val="003E74D5"/>
    <w:rsid w:val="00413213"/>
    <w:rsid w:val="00422B0C"/>
    <w:rsid w:val="0042419C"/>
    <w:rsid w:val="00437CF9"/>
    <w:rsid w:val="00443D12"/>
    <w:rsid w:val="0045592C"/>
    <w:rsid w:val="004613D5"/>
    <w:rsid w:val="004623E8"/>
    <w:rsid w:val="00470C56"/>
    <w:rsid w:val="00487E0F"/>
    <w:rsid w:val="004A431F"/>
    <w:rsid w:val="004C208E"/>
    <w:rsid w:val="004D77A4"/>
    <w:rsid w:val="004F0E74"/>
    <w:rsid w:val="00515143"/>
    <w:rsid w:val="00534382"/>
    <w:rsid w:val="00565661"/>
    <w:rsid w:val="0056790C"/>
    <w:rsid w:val="00570397"/>
    <w:rsid w:val="00571A87"/>
    <w:rsid w:val="0058758E"/>
    <w:rsid w:val="005923F9"/>
    <w:rsid w:val="00597A1F"/>
    <w:rsid w:val="005A2452"/>
    <w:rsid w:val="005C6083"/>
    <w:rsid w:val="005D285D"/>
    <w:rsid w:val="005D6277"/>
    <w:rsid w:val="005F2CD5"/>
    <w:rsid w:val="005F6F41"/>
    <w:rsid w:val="0065346E"/>
    <w:rsid w:val="0068086D"/>
    <w:rsid w:val="00685EA5"/>
    <w:rsid w:val="006C122E"/>
    <w:rsid w:val="006D1F49"/>
    <w:rsid w:val="006F5FFA"/>
    <w:rsid w:val="00706A50"/>
    <w:rsid w:val="0071509B"/>
    <w:rsid w:val="007375C5"/>
    <w:rsid w:val="0076385E"/>
    <w:rsid w:val="0078483A"/>
    <w:rsid w:val="007876F4"/>
    <w:rsid w:val="007C3A47"/>
    <w:rsid w:val="007D60BA"/>
    <w:rsid w:val="007E7DE7"/>
    <w:rsid w:val="007F07DA"/>
    <w:rsid w:val="007F1875"/>
    <w:rsid w:val="007F6C04"/>
    <w:rsid w:val="00824DFE"/>
    <w:rsid w:val="0084144C"/>
    <w:rsid w:val="00842411"/>
    <w:rsid w:val="00866048"/>
    <w:rsid w:val="00880A4F"/>
    <w:rsid w:val="008929BF"/>
    <w:rsid w:val="00895350"/>
    <w:rsid w:val="008A2851"/>
    <w:rsid w:val="008B2E93"/>
    <w:rsid w:val="008C7807"/>
    <w:rsid w:val="008D664F"/>
    <w:rsid w:val="008E454F"/>
    <w:rsid w:val="008E46EB"/>
    <w:rsid w:val="008F2569"/>
    <w:rsid w:val="00912E1F"/>
    <w:rsid w:val="00933528"/>
    <w:rsid w:val="00950A4C"/>
    <w:rsid w:val="00951276"/>
    <w:rsid w:val="00956818"/>
    <w:rsid w:val="009604CA"/>
    <w:rsid w:val="009752ED"/>
    <w:rsid w:val="00984CCA"/>
    <w:rsid w:val="00986538"/>
    <w:rsid w:val="009A00AD"/>
    <w:rsid w:val="009B03E4"/>
    <w:rsid w:val="009C0288"/>
    <w:rsid w:val="009D4622"/>
    <w:rsid w:val="009F0AA1"/>
    <w:rsid w:val="009F2F2B"/>
    <w:rsid w:val="009F64F4"/>
    <w:rsid w:val="00A15503"/>
    <w:rsid w:val="00A2644F"/>
    <w:rsid w:val="00A26649"/>
    <w:rsid w:val="00A317A1"/>
    <w:rsid w:val="00A36ADE"/>
    <w:rsid w:val="00A3742A"/>
    <w:rsid w:val="00A42C96"/>
    <w:rsid w:val="00A7629C"/>
    <w:rsid w:val="00A772AB"/>
    <w:rsid w:val="00A80114"/>
    <w:rsid w:val="00A83EE9"/>
    <w:rsid w:val="00AB4B70"/>
    <w:rsid w:val="00AC18E5"/>
    <w:rsid w:val="00AD6E08"/>
    <w:rsid w:val="00AE18A5"/>
    <w:rsid w:val="00AE68CF"/>
    <w:rsid w:val="00AF72B8"/>
    <w:rsid w:val="00B002F8"/>
    <w:rsid w:val="00B05E96"/>
    <w:rsid w:val="00B11FC2"/>
    <w:rsid w:val="00B16BFA"/>
    <w:rsid w:val="00B23125"/>
    <w:rsid w:val="00B27593"/>
    <w:rsid w:val="00B3693A"/>
    <w:rsid w:val="00B61589"/>
    <w:rsid w:val="00B67156"/>
    <w:rsid w:val="00B707B4"/>
    <w:rsid w:val="00B74F51"/>
    <w:rsid w:val="00B80DC9"/>
    <w:rsid w:val="00B82C29"/>
    <w:rsid w:val="00B90C64"/>
    <w:rsid w:val="00B95817"/>
    <w:rsid w:val="00B9750E"/>
    <w:rsid w:val="00BA2011"/>
    <w:rsid w:val="00BC6BCD"/>
    <w:rsid w:val="00BE0AAE"/>
    <w:rsid w:val="00C027CA"/>
    <w:rsid w:val="00C2458D"/>
    <w:rsid w:val="00C247D6"/>
    <w:rsid w:val="00C27079"/>
    <w:rsid w:val="00C30697"/>
    <w:rsid w:val="00C412CE"/>
    <w:rsid w:val="00C520C7"/>
    <w:rsid w:val="00C66EDC"/>
    <w:rsid w:val="00C72B38"/>
    <w:rsid w:val="00C83A23"/>
    <w:rsid w:val="00C855F6"/>
    <w:rsid w:val="00C9518C"/>
    <w:rsid w:val="00C9544D"/>
    <w:rsid w:val="00CB5D5A"/>
    <w:rsid w:val="00CF0BE4"/>
    <w:rsid w:val="00CF0E0C"/>
    <w:rsid w:val="00CF24B1"/>
    <w:rsid w:val="00CF471A"/>
    <w:rsid w:val="00D01277"/>
    <w:rsid w:val="00D10BEE"/>
    <w:rsid w:val="00D117E4"/>
    <w:rsid w:val="00D31D58"/>
    <w:rsid w:val="00D32F37"/>
    <w:rsid w:val="00D573B6"/>
    <w:rsid w:val="00D65B52"/>
    <w:rsid w:val="00D712AF"/>
    <w:rsid w:val="00D766A0"/>
    <w:rsid w:val="00D8184B"/>
    <w:rsid w:val="00D937F9"/>
    <w:rsid w:val="00DA4C85"/>
    <w:rsid w:val="00DD32C1"/>
    <w:rsid w:val="00DE0B4A"/>
    <w:rsid w:val="00DE791D"/>
    <w:rsid w:val="00E04FA0"/>
    <w:rsid w:val="00E05F8C"/>
    <w:rsid w:val="00E26A72"/>
    <w:rsid w:val="00E26E0A"/>
    <w:rsid w:val="00E3240A"/>
    <w:rsid w:val="00E45C3D"/>
    <w:rsid w:val="00E45FDE"/>
    <w:rsid w:val="00E55891"/>
    <w:rsid w:val="00E57992"/>
    <w:rsid w:val="00EC10FC"/>
    <w:rsid w:val="00EF2229"/>
    <w:rsid w:val="00F21521"/>
    <w:rsid w:val="00F2404B"/>
    <w:rsid w:val="00F40165"/>
    <w:rsid w:val="00F42B7C"/>
    <w:rsid w:val="00F46AC0"/>
    <w:rsid w:val="00F5544B"/>
    <w:rsid w:val="00F75966"/>
    <w:rsid w:val="00F855E4"/>
    <w:rsid w:val="00FC1500"/>
    <w:rsid w:val="00FC1923"/>
    <w:rsid w:val="00FC5785"/>
    <w:rsid w:val="00FD30B9"/>
    <w:rsid w:val="00FD67F1"/>
    <w:rsid w:val="00FE0A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240892"/>
  <w15:chartTrackingRefBased/>
  <w15:docId w15:val="{38BCA902-B395-4365-9A77-63F629A1C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0017"/>
    <w:rPr>
      <w:rFonts w:ascii="Times New Roman" w:hAnsi="Times New Roman"/>
      <w:sz w:val="24"/>
      <w:szCs w:val="24"/>
      <w:lang w:val="en-US"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spacing w:line="480" w:lineRule="auto"/>
      <w:outlineLvl w:val="1"/>
    </w:pPr>
    <w:rPr>
      <w:i/>
    </w:rPr>
  </w:style>
  <w:style w:type="paragraph" w:styleId="Heading3">
    <w:name w:val="heading 3"/>
    <w:basedOn w:val="Normal"/>
    <w:next w:val="Normal"/>
    <w:qFormat/>
    <w:pPr>
      <w:keepNext/>
      <w:spacing w:before="240" w:after="60"/>
      <w:outlineLvl w:val="2"/>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jc w:val="both"/>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pPr>
      <w:spacing w:line="360" w:lineRule="auto"/>
    </w:pPr>
    <w:rPr>
      <w:sz w:val="20"/>
    </w:rPr>
  </w:style>
  <w:style w:type="paragraph" w:styleId="Header">
    <w:name w:val="header"/>
    <w:basedOn w:val="Normal"/>
    <w:rsid w:val="00B16BFA"/>
    <w:pPr>
      <w:tabs>
        <w:tab w:val="center" w:pos="4536"/>
        <w:tab w:val="right" w:pos="9072"/>
      </w:tabs>
    </w:pPr>
  </w:style>
  <w:style w:type="paragraph" w:styleId="Title">
    <w:name w:val="Title"/>
    <w:basedOn w:val="Normal"/>
    <w:link w:val="TitleChar"/>
    <w:uiPriority w:val="10"/>
    <w:qFormat/>
    <w:rsid w:val="005C6083"/>
    <w:pPr>
      <w:widowControl w:val="0"/>
      <w:autoSpaceDE w:val="0"/>
      <w:autoSpaceDN w:val="0"/>
      <w:spacing w:before="15"/>
      <w:ind w:left="534" w:right="539"/>
      <w:jc w:val="center"/>
    </w:pPr>
    <w:rPr>
      <w:rFonts w:ascii="Bahnschrift" w:eastAsia="Bahnschrift" w:hAnsi="Bahnschrift" w:cs="Bahnschrift"/>
      <w:sz w:val="32"/>
      <w:szCs w:val="32"/>
    </w:rPr>
  </w:style>
  <w:style w:type="character" w:customStyle="1" w:styleId="TitleChar">
    <w:name w:val="Title Char"/>
    <w:basedOn w:val="DefaultParagraphFont"/>
    <w:link w:val="Title"/>
    <w:uiPriority w:val="10"/>
    <w:rsid w:val="005C6083"/>
    <w:rPr>
      <w:rFonts w:ascii="Bahnschrift" w:eastAsia="Bahnschrift" w:hAnsi="Bahnschrift" w:cs="Bahnschrift"/>
      <w:sz w:val="32"/>
      <w:szCs w:val="32"/>
      <w:lang w:val="en-US" w:eastAsia="en-US"/>
    </w:rPr>
  </w:style>
  <w:style w:type="paragraph" w:styleId="HTMLPreformatted">
    <w:name w:val="HTML Preformatted"/>
    <w:basedOn w:val="Normal"/>
    <w:link w:val="HTMLPreformattedChar"/>
    <w:rsid w:val="00FC1500"/>
    <w:rPr>
      <w:rFonts w:ascii="Consolas" w:hAnsi="Consolas"/>
      <w:sz w:val="20"/>
      <w:szCs w:val="20"/>
    </w:rPr>
  </w:style>
  <w:style w:type="character" w:customStyle="1" w:styleId="HTMLPreformattedChar">
    <w:name w:val="HTML Preformatted Char"/>
    <w:basedOn w:val="DefaultParagraphFont"/>
    <w:link w:val="HTMLPreformatted"/>
    <w:rsid w:val="00FC1500"/>
    <w:rPr>
      <w:rFonts w:ascii="Consolas" w:hAnsi="Consolas"/>
      <w:lang w:val="en-US" w:eastAsia="en-US"/>
    </w:rPr>
  </w:style>
  <w:style w:type="paragraph" w:styleId="ListParagraph">
    <w:name w:val="List Paragraph"/>
    <w:basedOn w:val="Normal"/>
    <w:uiPriority w:val="34"/>
    <w:qFormat/>
    <w:rsid w:val="00E05F8C"/>
    <w:pPr>
      <w:ind w:left="720"/>
      <w:contextualSpacing/>
    </w:pPr>
  </w:style>
  <w:style w:type="paragraph" w:styleId="NormalWeb">
    <w:name w:val="Normal (Web)"/>
    <w:basedOn w:val="Normal"/>
    <w:uiPriority w:val="99"/>
    <w:unhideWhenUsed/>
    <w:rsid w:val="001F57A6"/>
    <w:pPr>
      <w:spacing w:before="100" w:beforeAutospacing="1" w:after="100" w:afterAutospacing="1"/>
    </w:pPr>
  </w:style>
  <w:style w:type="paragraph" w:styleId="BalloonText">
    <w:name w:val="Balloon Text"/>
    <w:basedOn w:val="Normal"/>
    <w:link w:val="BalloonTextChar"/>
    <w:rsid w:val="001C2B5E"/>
    <w:rPr>
      <w:sz w:val="18"/>
      <w:szCs w:val="18"/>
    </w:rPr>
  </w:style>
  <w:style w:type="character" w:customStyle="1" w:styleId="BalloonTextChar">
    <w:name w:val="Balloon Text Char"/>
    <w:basedOn w:val="DefaultParagraphFont"/>
    <w:link w:val="BalloonText"/>
    <w:rsid w:val="001C2B5E"/>
    <w:rPr>
      <w:rFonts w:ascii="Times New Roman" w:hAnsi="Times New Roman"/>
      <w:sz w:val="18"/>
      <w:szCs w:val="18"/>
      <w:lang w:val="en-US" w:eastAsia="en-US"/>
    </w:rPr>
  </w:style>
  <w:style w:type="character" w:styleId="UnresolvedMention">
    <w:name w:val="Unresolved Mention"/>
    <w:basedOn w:val="DefaultParagraphFont"/>
    <w:uiPriority w:val="99"/>
    <w:semiHidden/>
    <w:unhideWhenUsed/>
    <w:rsid w:val="001B038A"/>
    <w:rPr>
      <w:color w:val="605E5C"/>
      <w:shd w:val="clear" w:color="auto" w:fill="E1DFDD"/>
    </w:rPr>
  </w:style>
  <w:style w:type="table" w:styleId="TableGrid">
    <w:name w:val="Table Grid"/>
    <w:basedOn w:val="TableNormal"/>
    <w:rsid w:val="00424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D117E4"/>
  </w:style>
  <w:style w:type="character" w:customStyle="1" w:styleId="EndNoteBibliographyChar">
    <w:name w:val="EndNote Bibliography Char"/>
    <w:basedOn w:val="DefaultParagraphFont"/>
    <w:link w:val="EndNoteBibliography"/>
    <w:rsid w:val="00D117E4"/>
    <w:rPr>
      <w:rFonts w:ascii="Times New Roman" w:hAnsi="Times New Roman"/>
      <w:sz w:val="24"/>
      <w:szCs w:val="24"/>
      <w:lang w:val="en-US" w:eastAsia="en-US"/>
    </w:rPr>
  </w:style>
  <w:style w:type="paragraph" w:styleId="Bibliography">
    <w:name w:val="Bibliography"/>
    <w:basedOn w:val="Normal"/>
    <w:next w:val="Normal"/>
    <w:uiPriority w:val="37"/>
    <w:semiHidden/>
    <w:unhideWhenUsed/>
    <w:rsid w:val="008E46EB"/>
  </w:style>
  <w:style w:type="character" w:styleId="CommentReference">
    <w:name w:val="annotation reference"/>
    <w:basedOn w:val="DefaultParagraphFont"/>
    <w:rsid w:val="008E46EB"/>
    <w:rPr>
      <w:sz w:val="16"/>
      <w:szCs w:val="16"/>
    </w:rPr>
  </w:style>
  <w:style w:type="paragraph" w:styleId="CommentText">
    <w:name w:val="annotation text"/>
    <w:basedOn w:val="Normal"/>
    <w:link w:val="CommentTextChar"/>
    <w:rsid w:val="008E46EB"/>
    <w:rPr>
      <w:sz w:val="20"/>
      <w:szCs w:val="20"/>
    </w:rPr>
  </w:style>
  <w:style w:type="character" w:customStyle="1" w:styleId="CommentTextChar">
    <w:name w:val="Comment Text Char"/>
    <w:basedOn w:val="DefaultParagraphFont"/>
    <w:link w:val="CommentText"/>
    <w:rsid w:val="008E46EB"/>
    <w:rPr>
      <w:rFonts w:ascii="Times New Roman" w:hAnsi="Times New Roman"/>
      <w:lang w:val="en-US" w:eastAsia="en-US"/>
    </w:rPr>
  </w:style>
  <w:style w:type="paragraph" w:styleId="CommentSubject">
    <w:name w:val="annotation subject"/>
    <w:basedOn w:val="CommentText"/>
    <w:next w:val="CommentText"/>
    <w:link w:val="CommentSubjectChar"/>
    <w:rsid w:val="008E46EB"/>
    <w:rPr>
      <w:b/>
      <w:bCs/>
    </w:rPr>
  </w:style>
  <w:style w:type="character" w:customStyle="1" w:styleId="CommentSubjectChar">
    <w:name w:val="Comment Subject Char"/>
    <w:basedOn w:val="CommentTextChar"/>
    <w:link w:val="CommentSubject"/>
    <w:rsid w:val="008E46EB"/>
    <w:rPr>
      <w:rFonts w:ascii="Times New Roman" w:hAnsi="Times New Roman"/>
      <w:b/>
      <w:bCs/>
      <w:lang w:val="en-US" w:eastAsia="en-US"/>
    </w:rPr>
  </w:style>
  <w:style w:type="character" w:styleId="FollowedHyperlink">
    <w:name w:val="FollowedHyperlink"/>
    <w:basedOn w:val="DefaultParagraphFont"/>
    <w:rsid w:val="00E45C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4889874">
      <w:bodyDiv w:val="1"/>
      <w:marLeft w:val="0"/>
      <w:marRight w:val="0"/>
      <w:marTop w:val="0"/>
      <w:marBottom w:val="0"/>
      <w:divBdr>
        <w:top w:val="none" w:sz="0" w:space="0" w:color="auto"/>
        <w:left w:val="none" w:sz="0" w:space="0" w:color="auto"/>
        <w:bottom w:val="none" w:sz="0" w:space="0" w:color="auto"/>
        <w:right w:val="none" w:sz="0" w:space="0" w:color="auto"/>
      </w:divBdr>
    </w:div>
    <w:div w:id="1122963028">
      <w:bodyDiv w:val="1"/>
      <w:marLeft w:val="0"/>
      <w:marRight w:val="0"/>
      <w:marTop w:val="0"/>
      <w:marBottom w:val="0"/>
      <w:divBdr>
        <w:top w:val="none" w:sz="0" w:space="0" w:color="auto"/>
        <w:left w:val="none" w:sz="0" w:space="0" w:color="auto"/>
        <w:bottom w:val="none" w:sz="0" w:space="0" w:color="auto"/>
        <w:right w:val="none" w:sz="0" w:space="0" w:color="auto"/>
      </w:divBdr>
      <w:divsChild>
        <w:div w:id="1194460559">
          <w:marLeft w:val="0"/>
          <w:marRight w:val="0"/>
          <w:marTop w:val="0"/>
          <w:marBottom w:val="0"/>
          <w:divBdr>
            <w:top w:val="none" w:sz="0" w:space="0" w:color="auto"/>
            <w:left w:val="none" w:sz="0" w:space="0" w:color="auto"/>
            <w:bottom w:val="none" w:sz="0" w:space="0" w:color="auto"/>
            <w:right w:val="none" w:sz="0" w:space="0" w:color="auto"/>
          </w:divBdr>
        </w:div>
      </w:divsChild>
    </w:div>
    <w:div w:id="1184397397">
      <w:bodyDiv w:val="1"/>
      <w:marLeft w:val="0"/>
      <w:marRight w:val="0"/>
      <w:marTop w:val="0"/>
      <w:marBottom w:val="0"/>
      <w:divBdr>
        <w:top w:val="none" w:sz="0" w:space="0" w:color="auto"/>
        <w:left w:val="none" w:sz="0" w:space="0" w:color="auto"/>
        <w:bottom w:val="none" w:sz="0" w:space="0" w:color="auto"/>
        <w:right w:val="none" w:sz="0" w:space="0" w:color="auto"/>
      </w:divBdr>
    </w:div>
    <w:div w:id="1286738582">
      <w:bodyDiv w:val="1"/>
      <w:marLeft w:val="0"/>
      <w:marRight w:val="0"/>
      <w:marTop w:val="0"/>
      <w:marBottom w:val="0"/>
      <w:divBdr>
        <w:top w:val="none" w:sz="0" w:space="0" w:color="auto"/>
        <w:left w:val="none" w:sz="0" w:space="0" w:color="auto"/>
        <w:bottom w:val="none" w:sz="0" w:space="0" w:color="auto"/>
        <w:right w:val="none" w:sz="0" w:space="0" w:color="auto"/>
      </w:divBdr>
    </w:div>
    <w:div w:id="1330329834">
      <w:bodyDiv w:val="1"/>
      <w:marLeft w:val="0"/>
      <w:marRight w:val="0"/>
      <w:marTop w:val="0"/>
      <w:marBottom w:val="0"/>
      <w:divBdr>
        <w:top w:val="none" w:sz="0" w:space="0" w:color="auto"/>
        <w:left w:val="none" w:sz="0" w:space="0" w:color="auto"/>
        <w:bottom w:val="none" w:sz="0" w:space="0" w:color="auto"/>
        <w:right w:val="none" w:sz="0" w:space="0" w:color="auto"/>
      </w:divBdr>
    </w:div>
    <w:div w:id="1478298308">
      <w:bodyDiv w:val="1"/>
      <w:marLeft w:val="0"/>
      <w:marRight w:val="0"/>
      <w:marTop w:val="0"/>
      <w:marBottom w:val="0"/>
      <w:divBdr>
        <w:top w:val="none" w:sz="0" w:space="0" w:color="auto"/>
        <w:left w:val="none" w:sz="0" w:space="0" w:color="auto"/>
        <w:bottom w:val="none" w:sz="0" w:space="0" w:color="auto"/>
        <w:right w:val="none" w:sz="0" w:space="0" w:color="auto"/>
      </w:divBdr>
      <w:divsChild>
        <w:div w:id="668097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eams.microsoft.com/l/meetup-join/19%3aJdu4-YOGoTWvm2EtTXTcbi08m9LpmYFMY_vTAu_mQGU1%40thread.tacv2/1729135292941?context=%7b%22Tid%22%3a%22e787b025-3fc6-4802-874a-9c988768f892%22%2c%22Oid%22%3a%22ac391189-1971-4664-9abf-5dbf09f2a671%22%7d" TargetMode="External"/><Relationship Id="rId18" Type="http://schemas.openxmlformats.org/officeDocument/2006/relationships/hyperlink" Target="mailto:bianca.martinengo2@unibo.it" TargetMode="External"/><Relationship Id="rId26" Type="http://schemas.microsoft.com/office/2007/relationships/hdphoto" Target="media/hdphoto1.wdp"/><Relationship Id="rId39" Type="http://schemas.openxmlformats.org/officeDocument/2006/relationships/hyperlink" Target="mailto:dafnigraikioti@upnet.gr" TargetMode="External"/><Relationship Id="rId21" Type="http://schemas.openxmlformats.org/officeDocument/2006/relationships/hyperlink" Target="https://teams.microsoft.com/l/meetup-join/19%3aJdu4-YOGoTWvm2EtTXTcbi08m9LpmYFMY_vTAu_mQGU1%40thread.tacv2/1729135378158?context=%7b%22Tid%22%3a%22e787b025-3fc6-4802-874a-9c988768f892%22%2c%22Oid%22%3a%22ac391189-1971-4664-9abf-5dbf09f2a671%22%7d" TargetMode="External"/><Relationship Id="rId34" Type="http://schemas.openxmlformats.org/officeDocument/2006/relationships/comments" Target="comments.xm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orenzo.raffellini@phd.unipi.it" TargetMode="External"/><Relationship Id="rId29" Type="http://schemas.openxmlformats.org/officeDocument/2006/relationships/hyperlink" Target="https://teams.microsoft.com/l/meetup-join/19%3aJdu4-YOGoTWvm2EtTXTcbi08m9LpmYFMY_vTAu_mQGU1%40thread.tacv2/1729135479241?context=%7b%22Tid%22%3a%22e787b025-3fc6-4802-874a-9c988768f892%22%2c%22Oid%22%3a%22ac391189-1971-4664-9abf-5dbf09f2a671%22%7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lar.google.it/scholar?oi=bibs&amp;cluster=2233886284460098713&amp;btnI=1&amp;hl=it" TargetMode="External"/><Relationship Id="rId24" Type="http://schemas.openxmlformats.org/officeDocument/2006/relationships/hyperlink" Target="mailto:dokolori6@gmail.com" TargetMode="External"/><Relationship Id="rId32" Type="http://schemas.openxmlformats.org/officeDocument/2006/relationships/image" Target="media/image7.png"/><Relationship Id="rId37" Type="http://schemas.microsoft.com/office/2018/08/relationships/commentsExtensible" Target="commentsExtensible.xml"/><Relationship Id="rId40" Type="http://schemas.openxmlformats.org/officeDocument/2006/relationships/image" Target="media/image8.emf"/><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daaiello@unimore.it" TargetMode="External"/><Relationship Id="rId23" Type="http://schemas.openxmlformats.org/officeDocument/2006/relationships/image" Target="media/image4.png"/><Relationship Id="rId28" Type="http://schemas.openxmlformats.org/officeDocument/2006/relationships/hyperlink" Target="mailto:sblandin@unistra.fr" TargetMode="External"/><Relationship Id="rId36" Type="http://schemas.microsoft.com/office/2016/09/relationships/commentsIds" Target="commentsIds.xml"/><Relationship Id="rId10" Type="http://schemas.openxmlformats.org/officeDocument/2006/relationships/image" Target="media/image1.png"/><Relationship Id="rId19" Type="http://schemas.openxmlformats.org/officeDocument/2006/relationships/hyperlink" Target="mailto:Tahiraiftakhar1234@gmail.com" TargetMode="Externa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esnetnpnd.org" TargetMode="External"/><Relationship Id="rId14" Type="http://schemas.openxmlformats.org/officeDocument/2006/relationships/hyperlink" Target="mailto:dominga.evangelista2@unibo.it" TargetMode="External"/><Relationship Id="rId22" Type="http://schemas.openxmlformats.org/officeDocument/2006/relationships/hyperlink" Target="https://www.who.int/leishmaniasis/burden/en/" TargetMode="External"/><Relationship Id="rId27" Type="http://schemas.openxmlformats.org/officeDocument/2006/relationships/hyperlink" Target="mailto:gaia.mazza@unimi.it" TargetMode="External"/><Relationship Id="rId30" Type="http://schemas.openxmlformats.org/officeDocument/2006/relationships/hyperlink" Target="mailto:keumoe@unistra.fr" TargetMode="External"/><Relationship Id="rId35" Type="http://schemas.microsoft.com/office/2011/relationships/commentsExtended" Target="commentsExtended.xml"/><Relationship Id="rId43" Type="http://schemas.openxmlformats.org/officeDocument/2006/relationships/footer" Target="footer1.xml"/><Relationship Id="rId8" Type="http://schemas.openxmlformats.org/officeDocument/2006/relationships/hyperlink" Target="https://teams.microsoft.com/l/meetup-join/19%3aJdu4-YOGoTWvm2EtTXTcbi08m9LpmYFMY_vTAu_mQGU1%40thread.tacv2/1729135211346?context=%7b%22Tid%22%3a%22e787b025-3fc6-4802-874a-9c988768f892%22%2c%22Oid%22%3a%22ac391189-1971-4664-9abf-5dbf09f2a671%22%7d" TargetMode="External"/><Relationship Id="rId3" Type="http://schemas.openxmlformats.org/officeDocument/2006/relationships/styles" Target="styles.xml"/><Relationship Id="rId12" Type="http://schemas.openxmlformats.org/officeDocument/2006/relationships/hyperlink" Target="mailto:elisa.uliassi3@unibo.it"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www.who.int/news-room/questions-and-answers/item/neglected-tropical-diseases" TargetMode="External"/><Relationship Id="rId38" Type="http://schemas.openxmlformats.org/officeDocument/2006/relationships/hyperlink" Target="mailto:Tahiraiftakhar1234@gmail.com" TargetMode="External"/><Relationship Id="rId46" Type="http://schemas.openxmlformats.org/officeDocument/2006/relationships/theme" Target="theme/theme1.xml"/><Relationship Id="rId20" Type="http://schemas.openxmlformats.org/officeDocument/2006/relationships/image" Target="media/image3.jpg"/><Relationship Id="rId41" Type="http://schemas.openxmlformats.org/officeDocument/2006/relationships/hyperlink" Target="https://zinc20.docking.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45383-A14E-0B42-B97C-6C07F02C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18950</Words>
  <Characters>108017</Characters>
  <Application>Microsoft Office Word</Application>
  <DocSecurity>0</DocSecurity>
  <Lines>900</Lines>
  <Paragraphs>253</Paragraphs>
  <ScaleCrop>false</ScaleCrop>
  <HeadingPairs>
    <vt:vector size="8" baseType="variant">
      <vt:variant>
        <vt:lpstr>Title</vt:lpstr>
      </vt:variant>
      <vt:variant>
        <vt:i4>1</vt:i4>
      </vt:variant>
      <vt:variant>
        <vt:lpstr>Titolo</vt:lpstr>
      </vt:variant>
      <vt:variant>
        <vt:i4>1</vt:i4>
      </vt:variant>
      <vt:variant>
        <vt:lpstr>Título</vt:lpstr>
      </vt:variant>
      <vt:variant>
        <vt:i4>1</vt:i4>
      </vt:variant>
      <vt:variant>
        <vt:lpstr>Titel</vt:lpstr>
      </vt:variant>
      <vt:variant>
        <vt:i4>1</vt:i4>
      </vt:variant>
    </vt:vector>
  </HeadingPairs>
  <TitlesOfParts>
    <vt:vector size="4" baseType="lpstr">
      <vt:lpstr>On the Chemistry of the Resveratrol Diastereomers</vt:lpstr>
      <vt:lpstr>On the Chemistry of the Resveratrol Diastereomers</vt:lpstr>
      <vt:lpstr>On the Chemistry of the Resveratrol Diastereomers</vt:lpstr>
      <vt:lpstr>On the Chemistry of the Resveratrol Diastereomers</vt:lpstr>
    </vt:vector>
  </TitlesOfParts>
  <Company>home</Company>
  <LinksUpToDate>false</LinksUpToDate>
  <CharactersWithSpaces>126714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Chemistry of the Resveratrol Diastereomers</dc:title>
  <dc:subject/>
  <dc:creator>falk</dc:creator>
  <cp:keywords/>
  <cp:lastModifiedBy>Maria Paola COSTI</cp:lastModifiedBy>
  <cp:revision>2</cp:revision>
  <cp:lastPrinted>2002-12-19T14:08:00Z</cp:lastPrinted>
  <dcterms:created xsi:type="dcterms:W3CDTF">2024-11-26T11:06:00Z</dcterms:created>
  <dcterms:modified xsi:type="dcterms:W3CDTF">2024-11-26T11:06:00Z</dcterms:modified>
</cp:coreProperties>
</file>